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62" w:rsidRPr="00B479CC" w:rsidRDefault="00303E62" w:rsidP="00DD1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ES"/>
        </w:rPr>
      </w:pPr>
      <w:r w:rsidRPr="00B479CC">
        <w:rPr>
          <w:rFonts w:ascii="Times New Roman" w:eastAsia="Calibri" w:hAnsi="Times New Roman" w:cs="Times New Roman"/>
          <w:b/>
          <w:sz w:val="32"/>
          <w:szCs w:val="32"/>
          <w:lang w:val="es-ES"/>
        </w:rPr>
        <w:t>BTS CGO 2014</w:t>
      </w:r>
    </w:p>
    <w:p w:rsidR="00303E62" w:rsidRPr="005C4113" w:rsidRDefault="00303E62" w:rsidP="00DD1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s-ES"/>
        </w:rPr>
      </w:pPr>
      <w:r w:rsidRPr="00B479CC">
        <w:rPr>
          <w:rFonts w:ascii="Times New Roman" w:eastAsia="Calibri" w:hAnsi="Times New Roman" w:cs="Times New Roman"/>
          <w:b/>
          <w:sz w:val="32"/>
          <w:szCs w:val="32"/>
          <w:lang w:val="es-ES"/>
        </w:rPr>
        <w:t>UNA FACTURA QUE AHORRA TINTA</w:t>
      </w:r>
      <w:r w:rsidR="00C405B3" w:rsidRPr="00B479CC"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es-ES"/>
        </w:rPr>
        <w:t>1</w:t>
      </w:r>
      <w:r w:rsidRPr="00B479CC">
        <w:rPr>
          <w:rFonts w:ascii="Times New Roman" w:eastAsia="Calibri" w:hAnsi="Times New Roman" w:cs="Times New Roman"/>
          <w:b/>
          <w:sz w:val="32"/>
          <w:szCs w:val="32"/>
          <w:lang w:val="es-ES"/>
        </w:rPr>
        <w:t xml:space="preserve"> Y PAPEL</w:t>
      </w:r>
    </w:p>
    <w:p w:rsidR="00303E62" w:rsidRPr="00B479CC" w:rsidRDefault="00303E62" w:rsidP="00DD1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B479CC">
        <w:rPr>
          <w:rFonts w:ascii="Times New Roman" w:eastAsia="Calibri" w:hAnsi="Times New Roman" w:cs="Times New Roman"/>
          <w:sz w:val="24"/>
          <w:szCs w:val="24"/>
          <w:lang w:val="es-ES"/>
        </w:rPr>
        <w:t>Texte</w:t>
      </w:r>
      <w:proofErr w:type="spellEnd"/>
      <w:r w:rsidRPr="00B479C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n°</w:t>
      </w:r>
      <w:r w:rsidR="00B479CC">
        <w:rPr>
          <w:rFonts w:ascii="Times New Roman" w:eastAsia="Calibri" w:hAnsi="Times New Roman" w:cs="Times New Roman"/>
          <w:sz w:val="24"/>
          <w:szCs w:val="24"/>
          <w:lang w:val="es-ES"/>
        </w:rPr>
        <w:t>12</w:t>
      </w:r>
    </w:p>
    <w:p w:rsidR="00303E62" w:rsidRPr="00B479CC" w:rsidRDefault="00DA442F" w:rsidP="00DD1B8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s-ES"/>
        </w:rPr>
        <w:t>e</w:t>
      </w:r>
      <w:r w:rsidR="00303E62" w:rsidRPr="00B479CC">
        <w:rPr>
          <w:rFonts w:ascii="Times New Roman" w:eastAsia="Calibri" w:hAnsi="Times New Roman" w:cs="Times New Roman"/>
          <w:i/>
          <w:sz w:val="24"/>
          <w:szCs w:val="24"/>
          <w:lang w:val="es-ES"/>
        </w:rPr>
        <w:t>lpais.es</w:t>
      </w:r>
      <w:r w:rsidR="00303E62" w:rsidRPr="00B479CC">
        <w:rPr>
          <w:rFonts w:ascii="Times New Roman" w:eastAsia="Calibri" w:hAnsi="Times New Roman" w:cs="Times New Roman"/>
          <w:sz w:val="24"/>
          <w:szCs w:val="24"/>
          <w:lang w:val="es-ES"/>
        </w:rPr>
        <w:t>, 03/03/2014</w:t>
      </w:r>
    </w:p>
    <w:p w:rsidR="00B479CC" w:rsidRDefault="00B479CC" w:rsidP="00DD1B8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B479CC" w:rsidSect="00CA35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E62" w:rsidRPr="00B479CC" w:rsidRDefault="00303E62" w:rsidP="00DD1B8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El gesto de abrir el buzón</w:t>
      </w:r>
      <w:r w:rsidR="00B479CC" w:rsidRPr="00B479C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2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se ha convertido en una rutina casi olvidada. </w:t>
      </w:r>
      <w:r w:rsidR="000323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legan menos cartas y suelen ser facturas</w:t>
      </w:r>
      <w:r w:rsidR="000323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cada vez hay menos de estas últimas desde que se puso en marcha la factura electrónica como medida más eficiente y sostenible para recibir los gastos en el hogar</w:t>
      </w:r>
      <w:r w:rsidR="00B479CC" w:rsidRPr="00B479C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3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Además, en el ámbito empresarial cada vez son más las compañías que están implantando la factura electrónica para relacionarse con sus clientes y proveedores.</w:t>
      </w:r>
    </w:p>
    <w:p w:rsidR="00303E62" w:rsidRPr="00B479CC" w:rsidRDefault="00303E62" w:rsidP="00DD1B8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Las empresas españolas han generado 59 millones de facturas electrónicas durante el primer semestre de 2013, según el estudio </w:t>
      </w:r>
      <w:r w:rsidRPr="00B479CC">
        <w:rPr>
          <w:rFonts w:ascii="Times New Roman" w:eastAsia="Times New Roman" w:hAnsi="Times New Roman" w:cs="Times New Roman"/>
          <w:i/>
          <w:iCs/>
          <w:sz w:val="24"/>
          <w:szCs w:val="24"/>
          <w:lang w:val="es-ES" w:eastAsia="fr-FR"/>
        </w:rPr>
        <w:t>La Factura Electrónica en España 2012-2013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realizado por Seres, organización dedicada a la implantación de intercambio</w:t>
      </w:r>
      <w:r w:rsidR="000323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documentos electrónicos. Este informe señala que el ahorro ha sido de 458 millones de euros y más de 250.000 horas de trabajo improductivo para los departamentos administrativos. Además del impacto económico, ha evitado la tala</w:t>
      </w:r>
      <w:r w:rsidR="006B0421" w:rsidRPr="00B479C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4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3.300 </w:t>
      </w:r>
      <w:r w:rsidR="006B0421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árboles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bookmarkStart w:id="0" w:name="sumario_2"/>
      <w:bookmarkEnd w:id="0"/>
    </w:p>
    <w:p w:rsidR="00303E62" w:rsidRPr="00B479CC" w:rsidRDefault="00303E62" w:rsidP="00DD1B8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Las ventajas no son sólo para las grandes multinacionales sino también para las </w:t>
      </w:r>
      <w:r w:rsidR="00DD1B8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pymes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Según diferentes estudios, el ahorro medio de una factura electrónica respecto a otra en papel es de 4,95 euros en la recepción y de 2,82 euros en la emisión. “Para las pymes este procedimiento mejora la financiación de la propia empresa. Para su departamento de facturación supone llegar a tiempo a los pagos tan necesarios para poder seguir invirtiendo. Además, y con este sistema electrónico, se puede presentar una información más detallada a los bancos que financian el proyecto y asegurar la supervivencia de la empresa”, afirma </w:t>
      </w:r>
      <w:r w:rsidR="000323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director de marketing de Seres.</w:t>
      </w:r>
    </w:p>
    <w:p w:rsidR="005F7CBF" w:rsidRPr="00B479CC" w:rsidRDefault="00303E62" w:rsidP="00DD1B8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Congreso de los Diputados aprobó el pasado 19 de diciembre </w:t>
      </w:r>
      <w:hyperlink r:id="rId4" w:history="1">
        <w:r w:rsidRPr="00B479CC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la Ley de Impulso de la Factura Electrónica</w:t>
        </w:r>
      </w:hyperlink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que hará posible el uso de la factura electrónica en el sector público</w:t>
      </w:r>
      <w:r w:rsidR="00BC735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ademá</w:t>
      </w:r>
      <w:r w:rsidR="00BC735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 del privado, 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lo</w:t>
      </w:r>
      <w:r w:rsidR="000323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que reducirá cargas administrativas. La implantación en la Administración General del Estado tendrá un beneficio neto anual de 51 millones y de 2,3 millones en ahorro de papel, según la </w:t>
      </w:r>
      <w:hyperlink r:id="rId5" w:history="1">
        <w:r w:rsidRPr="00B479CC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 xml:space="preserve">Asociación de Empresas de la </w:t>
        </w:r>
        <w:r w:rsidR="0003231F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Electrónica</w:t>
        </w:r>
      </w:hyperlink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</w:t>
      </w:r>
      <w:r w:rsidR="0003231F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onsidera que proporcionará </w:t>
      </w:r>
      <w:r w:rsidR="005030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“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grandes ventajas en costes, tiempo, gestiones y procedimientos</w:t>
      </w:r>
      <w:r w:rsidR="0050306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”</w:t>
      </w: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bookmarkStart w:id="1" w:name="sumario_1"/>
      <w:bookmarkEnd w:id="1"/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Además, a partir de 2015, la factura electrónica será obligatoria.</w:t>
      </w:r>
    </w:p>
    <w:p w:rsidR="00B479CC" w:rsidRDefault="00B479CC" w:rsidP="00DD1B8C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B479CC" w:rsidSect="00B479CC">
          <w:type w:val="continuous"/>
          <w:pgSz w:w="11906" w:h="16838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:rsidR="00DD1B8C" w:rsidRDefault="00DD1B8C" w:rsidP="00DD1B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</w:p>
    <w:p w:rsidR="00C405B3" w:rsidRPr="00B479CC" w:rsidRDefault="00DA442F" w:rsidP="00DD1B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VOCABULARIO</w:t>
      </w:r>
      <w:r w:rsidR="00B479CC" w:rsidRPr="00B479CC"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:</w:t>
      </w:r>
    </w:p>
    <w:p w:rsidR="00C405B3" w:rsidRDefault="00C405B3" w:rsidP="00DD1B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1</w:t>
      </w:r>
      <w:r w:rsidR="00B479C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l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tinta: </w:t>
      </w:r>
      <w:proofErr w:type="spellStart"/>
      <w:r w:rsidRPr="00C405B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l’encre</w:t>
      </w:r>
      <w:proofErr w:type="spellEnd"/>
    </w:p>
    <w:p w:rsidR="00B479CC" w:rsidRPr="00DA442F" w:rsidRDefault="00C405B3" w:rsidP="00DD1B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DA44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="00B479CC" w:rsidRPr="00DA44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 </w:t>
      </w:r>
      <w:proofErr w:type="spellStart"/>
      <w:r w:rsidR="00B479CC" w:rsidRPr="00DA442F">
        <w:rPr>
          <w:rFonts w:ascii="Times New Roman" w:eastAsia="Times New Roman" w:hAnsi="Times New Roman" w:cs="Times New Roman"/>
          <w:sz w:val="24"/>
          <w:szCs w:val="24"/>
          <w:lang w:eastAsia="fr-FR"/>
        </w:rPr>
        <w:t>buzón</w:t>
      </w:r>
      <w:proofErr w:type="spellEnd"/>
      <w:r w:rsidR="00B479CC" w:rsidRPr="00DA44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B479CC" w:rsidRPr="00DA442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la boîte aux lettres</w:t>
      </w:r>
    </w:p>
    <w:p w:rsidR="00B479CC" w:rsidRPr="00B479CC" w:rsidRDefault="00B479CC" w:rsidP="00DD1B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3. el hogar: 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le foyer</w:t>
      </w:r>
    </w:p>
    <w:p w:rsidR="00C07947" w:rsidRPr="00B479CC" w:rsidRDefault="00B479CC" w:rsidP="00DD1B8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4. l</w:t>
      </w:r>
      <w:r w:rsidR="00C405B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tala: </w:t>
      </w:r>
      <w:r w:rsidR="00C405B3" w:rsidRPr="00C405B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la </w:t>
      </w:r>
      <w:proofErr w:type="spellStart"/>
      <w:r w:rsidR="00C405B3" w:rsidRPr="00C405B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coupe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 </w:t>
      </w:r>
      <w:bookmarkStart w:id="2" w:name="_GoBack"/>
      <w:bookmarkEnd w:id="2"/>
    </w:p>
    <w:sectPr w:rsidR="00C07947" w:rsidRPr="00B479CC" w:rsidSect="00B479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3E62"/>
    <w:rsid w:val="0003231F"/>
    <w:rsid w:val="00303E62"/>
    <w:rsid w:val="00503063"/>
    <w:rsid w:val="00527D38"/>
    <w:rsid w:val="005F7CBF"/>
    <w:rsid w:val="006B0421"/>
    <w:rsid w:val="009D74E6"/>
    <w:rsid w:val="009F231A"/>
    <w:rsid w:val="00B479CC"/>
    <w:rsid w:val="00BC735E"/>
    <w:rsid w:val="00C07947"/>
    <w:rsid w:val="00C405B3"/>
    <w:rsid w:val="00CA35F6"/>
    <w:rsid w:val="00DA442F"/>
    <w:rsid w:val="00D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B47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tic.es/" TargetMode="External"/><Relationship Id="rId4" Type="http://schemas.openxmlformats.org/officeDocument/2006/relationships/hyperlink" Target="http://economia.elpais.com/economia/2013/12/19/agencias/1387447532_450903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renaud</dc:creator>
  <cp:lastModifiedBy>bts</cp:lastModifiedBy>
  <cp:revision>10</cp:revision>
  <dcterms:created xsi:type="dcterms:W3CDTF">2014-03-06T17:53:00Z</dcterms:created>
  <dcterms:modified xsi:type="dcterms:W3CDTF">2014-03-11T10:00:00Z</dcterms:modified>
</cp:coreProperties>
</file>