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07C" w:rsidRPr="002555BE" w:rsidRDefault="00655673" w:rsidP="00202326">
      <w:pPr>
        <w:pStyle w:val="Titre"/>
        <w:suppressLineNumber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Cs w:val="28"/>
          <w:lang w:val="es-ES"/>
        </w:rPr>
      </w:pPr>
      <w:r w:rsidRPr="002555BE">
        <w:rPr>
          <w:b/>
          <w:szCs w:val="28"/>
          <w:lang w:val="es-ES"/>
        </w:rPr>
        <w:t>BTS NRC   2014</w:t>
      </w:r>
    </w:p>
    <w:p w:rsidR="00877B42" w:rsidRPr="002555BE" w:rsidRDefault="00877B42" w:rsidP="00202326">
      <w:pPr>
        <w:pStyle w:val="Titre"/>
        <w:suppressLineNumber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Cs w:val="28"/>
          <w:lang w:val="es-ES"/>
        </w:rPr>
      </w:pPr>
    </w:p>
    <w:p w:rsidR="00EB607C" w:rsidRPr="002555BE" w:rsidRDefault="00655673" w:rsidP="00202326">
      <w:pPr>
        <w:pStyle w:val="Titre"/>
        <w:suppressLineNumber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Cs w:val="28"/>
          <w:lang w:val="es-ES"/>
        </w:rPr>
      </w:pPr>
      <w:r w:rsidRPr="002555BE">
        <w:rPr>
          <w:b/>
          <w:szCs w:val="28"/>
          <w:lang w:val="es-ES"/>
        </w:rPr>
        <w:t xml:space="preserve">Un accidente que le cuesta 11000 euros a </w:t>
      </w:r>
      <w:proofErr w:type="spellStart"/>
      <w:r w:rsidRPr="002555BE">
        <w:rPr>
          <w:b/>
          <w:szCs w:val="28"/>
          <w:lang w:val="es-ES"/>
        </w:rPr>
        <w:t>Lidl</w:t>
      </w:r>
      <w:proofErr w:type="spellEnd"/>
    </w:p>
    <w:p w:rsidR="00877B42" w:rsidRPr="002555BE" w:rsidRDefault="00877B42" w:rsidP="00202326">
      <w:pPr>
        <w:pStyle w:val="Titre"/>
        <w:suppressLineNumber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Cs w:val="28"/>
          <w:lang w:val="es-ES"/>
        </w:rPr>
      </w:pPr>
    </w:p>
    <w:p w:rsidR="00877B42" w:rsidRPr="002555BE" w:rsidRDefault="00877B42" w:rsidP="00202326">
      <w:pPr>
        <w:pStyle w:val="Titre"/>
        <w:suppressLineNumber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Cs w:val="28"/>
          <w:lang w:val="es-ES"/>
        </w:rPr>
      </w:pPr>
      <w:r w:rsidRPr="002555BE">
        <w:rPr>
          <w:b/>
          <w:szCs w:val="28"/>
          <w:lang w:val="es-ES"/>
        </w:rPr>
        <w:t xml:space="preserve">                                                                                                          Texto n°25</w:t>
      </w:r>
    </w:p>
    <w:p w:rsidR="00877B42" w:rsidRPr="00202326" w:rsidRDefault="00877B42" w:rsidP="00202326">
      <w:pPr>
        <w:pStyle w:val="Titre"/>
        <w:suppressLineNumber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lang w:val="es-ES"/>
        </w:rPr>
      </w:pPr>
    </w:p>
    <w:p w:rsidR="00EB607C" w:rsidRPr="00202326" w:rsidRDefault="00EB607C" w:rsidP="00202326">
      <w:pPr>
        <w:suppressLineNumbers/>
        <w:rPr>
          <w:b/>
          <w:bCs/>
          <w:i/>
          <w:iCs/>
          <w:lang w:val="es-ES"/>
        </w:rPr>
      </w:pPr>
    </w:p>
    <w:p w:rsidR="00EB607C" w:rsidRPr="00202326" w:rsidRDefault="00655673" w:rsidP="00202326">
      <w:pPr>
        <w:suppressLineNumbers/>
        <w:spacing w:after="240"/>
        <w:rPr>
          <w:lang w:val="es-ES"/>
        </w:rPr>
      </w:pPr>
      <w:r w:rsidRPr="00202326">
        <w:rPr>
          <w:b/>
          <w:bCs/>
          <w:i/>
          <w:iCs/>
          <w:u w:val="single"/>
          <w:lang w:val="es-ES"/>
        </w:rPr>
        <w:t>El País,</w:t>
      </w:r>
      <w:r w:rsidRPr="00202326">
        <w:rPr>
          <w:lang w:val="es-ES"/>
        </w:rPr>
        <w:t xml:space="preserve"> 21/01/2014 </w:t>
      </w:r>
    </w:p>
    <w:p w:rsidR="00877B42" w:rsidRPr="00877B42" w:rsidRDefault="00655673" w:rsidP="00A237F4">
      <w:pPr>
        <w:spacing w:before="240" w:after="360"/>
        <w:jc w:val="both"/>
        <w:rPr>
          <w:lang w:val="es-ES_tradnl"/>
        </w:rPr>
      </w:pPr>
      <w:r w:rsidRPr="00202326">
        <w:rPr>
          <w:lang w:val="es-ES"/>
        </w:rPr>
        <w:t xml:space="preserve">La vida cotidiana está repleta de pequeños accidentes. </w:t>
      </w:r>
      <w:r w:rsidRPr="00877B42">
        <w:rPr>
          <w:lang w:val="es-ES_tradnl"/>
        </w:rPr>
        <w:t>Algunos son fortuitos</w:t>
      </w:r>
      <w:r w:rsidR="00877B42">
        <w:rPr>
          <w:lang w:val="es-ES_tradnl"/>
        </w:rPr>
        <w:t xml:space="preserve">. </w:t>
      </w:r>
      <w:r w:rsidRPr="00202326">
        <w:rPr>
          <w:lang w:val="es-ES"/>
        </w:rPr>
        <w:t xml:space="preserve">Otros pueden llegar cuando la seguridad ha fallado. El peligro, en cualquier caso, está ahí. Es la teoría de riesgos, que también tiene su recorrido en la esfera judicial a propósito de los litigios que desencadenan ese tipo de accidentes. </w:t>
      </w:r>
      <w:r w:rsidRPr="00877B42">
        <w:rPr>
          <w:lang w:val="es-ES_tradnl"/>
        </w:rPr>
        <w:t>Uno de ellos, ocurrido en un establecimie</w:t>
      </w:r>
      <w:r w:rsidR="00877B42" w:rsidRPr="00877B42">
        <w:rPr>
          <w:lang w:val="es-ES_tradnl"/>
        </w:rPr>
        <w:t xml:space="preserve">nto de </w:t>
      </w:r>
      <w:proofErr w:type="spellStart"/>
      <w:r w:rsidR="00877B42" w:rsidRPr="00877B42">
        <w:rPr>
          <w:lang w:val="es-ES_tradnl"/>
        </w:rPr>
        <w:t>Lidl</w:t>
      </w:r>
      <w:proofErr w:type="spellEnd"/>
      <w:r w:rsidR="00877B42" w:rsidRPr="00877B42">
        <w:rPr>
          <w:lang w:val="es-ES_tradnl"/>
        </w:rPr>
        <w:t xml:space="preserve"> en </w:t>
      </w:r>
      <w:proofErr w:type="spellStart"/>
      <w:r w:rsidR="00877B42" w:rsidRPr="00877B42">
        <w:rPr>
          <w:lang w:val="es-ES_tradnl"/>
        </w:rPr>
        <w:t>Cubelles</w:t>
      </w:r>
      <w:proofErr w:type="spellEnd"/>
      <w:r w:rsidRPr="00877B42">
        <w:rPr>
          <w:lang w:val="es-ES_tradnl"/>
        </w:rPr>
        <w:t xml:space="preserve"> ha acabado en condena: la Audiencia de Barcelona obliga a la cadena de supermercados a pagar 10.719 euros a una mujer que, el 12 de septiembre de 2009, cayó después de </w:t>
      </w:r>
      <w:r w:rsidRPr="00877B42">
        <w:rPr>
          <w:b/>
          <w:lang w:val="es-ES_tradnl"/>
        </w:rPr>
        <w:t>resbalar</w:t>
      </w:r>
      <w:r w:rsidRPr="00877B42">
        <w:rPr>
          <w:lang w:val="es-ES_tradnl"/>
        </w:rPr>
        <w:t xml:space="preserve"> </w:t>
      </w:r>
      <w:r w:rsidR="00C84E81">
        <w:rPr>
          <w:rStyle w:val="Appelnotedebasdep"/>
          <w:lang w:val="es-ES_tradnl"/>
        </w:rPr>
        <w:footnoteReference w:id="1"/>
      </w:r>
      <w:r w:rsidR="00C84E81">
        <w:rPr>
          <w:lang w:val="es-ES_tradnl"/>
        </w:rPr>
        <w:t xml:space="preserve"> </w:t>
      </w:r>
      <w:r w:rsidRPr="00877B42">
        <w:rPr>
          <w:lang w:val="es-ES_tradnl"/>
        </w:rPr>
        <w:t xml:space="preserve">por </w:t>
      </w:r>
      <w:r w:rsidRPr="00877B42">
        <w:rPr>
          <w:b/>
          <w:lang w:val="es-ES_tradnl"/>
        </w:rPr>
        <w:t>el derrame de un bote de jabón</w:t>
      </w:r>
      <w:r w:rsidRPr="00877B42">
        <w:rPr>
          <w:lang w:val="es-ES_tradnl"/>
        </w:rPr>
        <w:t xml:space="preserve"> </w:t>
      </w:r>
      <w:r w:rsidR="00C84E81">
        <w:rPr>
          <w:rStyle w:val="Appelnotedebasdep"/>
          <w:lang w:val="es-ES_tradnl"/>
        </w:rPr>
        <w:footnoteReference w:id="2"/>
      </w:r>
      <w:r w:rsidR="00C84E81">
        <w:rPr>
          <w:lang w:val="es-ES_tradnl"/>
        </w:rPr>
        <w:t xml:space="preserve"> </w:t>
      </w:r>
      <w:r w:rsidRPr="00877B42">
        <w:rPr>
          <w:lang w:val="es-ES_tradnl"/>
        </w:rPr>
        <w:t>en el suelo.</w:t>
      </w:r>
    </w:p>
    <w:p w:rsidR="00966331" w:rsidRPr="00202326" w:rsidRDefault="00655673" w:rsidP="00A237F4">
      <w:pPr>
        <w:pStyle w:val="Corpsdetexte"/>
        <w:spacing w:before="240" w:after="360"/>
        <w:rPr>
          <w:lang w:val="es-ES"/>
        </w:rPr>
      </w:pPr>
      <w:r w:rsidRPr="00202326">
        <w:rPr>
          <w:lang w:val="es-ES"/>
        </w:rPr>
        <w:t xml:space="preserve">Un juez de </w:t>
      </w:r>
      <w:proofErr w:type="spellStart"/>
      <w:r w:rsidRPr="00202326">
        <w:rPr>
          <w:lang w:val="es-ES"/>
        </w:rPr>
        <w:t>Vilanova</w:t>
      </w:r>
      <w:proofErr w:type="spellEnd"/>
      <w:r w:rsidRPr="00202326">
        <w:rPr>
          <w:lang w:val="es-ES"/>
        </w:rPr>
        <w:t xml:space="preserve"> había dado la razón a la empresa al entender que no hubo “conducta negligente” por parte de los empleados. </w:t>
      </w:r>
      <w:r w:rsidRPr="00877B42">
        <w:rPr>
          <w:lang w:val="es-ES_tradnl"/>
        </w:rPr>
        <w:t>La cadena, admitía la sentencia ahora anulada, tenía “la obligación de</w:t>
      </w:r>
      <w:r w:rsidR="00877B42" w:rsidRPr="00877B42">
        <w:rPr>
          <w:lang w:val="es-ES_tradnl"/>
        </w:rPr>
        <w:t>l</w:t>
      </w:r>
      <w:r w:rsidRPr="00877B42">
        <w:rPr>
          <w:lang w:val="es-ES_tradnl"/>
        </w:rPr>
        <w:t xml:space="preserve"> mantenimiento del suelo” para evitar “daños a terceros”. Pero la mujer que interpuso </w:t>
      </w:r>
      <w:r w:rsidRPr="00877B42">
        <w:rPr>
          <w:b/>
          <w:lang w:val="es-ES_tradnl"/>
        </w:rPr>
        <w:t>la demanda</w:t>
      </w:r>
      <w:r w:rsidRPr="00877B42">
        <w:rPr>
          <w:lang w:val="es-ES_tradnl"/>
        </w:rPr>
        <w:t xml:space="preserve"> </w:t>
      </w:r>
      <w:r w:rsidR="00C84E81">
        <w:rPr>
          <w:rStyle w:val="Appelnotedebasdep"/>
          <w:lang w:val="es-ES_tradnl"/>
        </w:rPr>
        <w:footnoteReference w:id="3"/>
      </w:r>
      <w:r w:rsidR="00C84E81">
        <w:rPr>
          <w:lang w:val="es-ES_tradnl"/>
        </w:rPr>
        <w:t xml:space="preserve"> </w:t>
      </w:r>
      <w:r w:rsidRPr="00877B42">
        <w:rPr>
          <w:lang w:val="es-ES_tradnl"/>
        </w:rPr>
        <w:t>no pudo acreditar “cuánto tiempo llevaba el jabón en el suelo”, por lo que no está claro que hubiera “falta de limpieza o</w:t>
      </w:r>
      <w:r w:rsidR="00A237F4">
        <w:rPr>
          <w:lang w:val="es-ES_tradnl"/>
        </w:rPr>
        <w:t xml:space="preserve"> de </w:t>
      </w:r>
      <w:bookmarkStart w:id="0" w:name="_GoBack"/>
      <w:bookmarkEnd w:id="0"/>
      <w:r w:rsidRPr="00877B42">
        <w:rPr>
          <w:lang w:val="es-ES_tradnl"/>
        </w:rPr>
        <w:t xml:space="preserve"> mantenimiento”. </w:t>
      </w:r>
      <w:r w:rsidRPr="00202326">
        <w:rPr>
          <w:lang w:val="es-ES"/>
        </w:rPr>
        <w:t>Tal vez, añade esa resolución, “las cajeras” no tuvieron tiempo de “notar la  sustancia resbaladiza en el suelo”.</w:t>
      </w:r>
    </w:p>
    <w:p w:rsidR="00877B42" w:rsidRPr="00877B42" w:rsidRDefault="00877B42" w:rsidP="00A237F4">
      <w:pPr>
        <w:pStyle w:val="Corpsdetexte"/>
        <w:spacing w:before="240" w:after="360"/>
        <w:rPr>
          <w:lang w:val="es-ES_tradnl"/>
        </w:rPr>
      </w:pPr>
      <w:r w:rsidRPr="00877B42">
        <w:rPr>
          <w:lang w:val="es-ES_tradnl"/>
        </w:rPr>
        <w:t>L</w:t>
      </w:r>
      <w:r>
        <w:rPr>
          <w:lang w:val="es-ES_tradnl"/>
        </w:rPr>
        <w:t>a mujer afectada</w:t>
      </w:r>
      <w:r w:rsidR="00655673" w:rsidRPr="00877B42">
        <w:rPr>
          <w:lang w:val="es-ES_tradnl"/>
        </w:rPr>
        <w:t xml:space="preserve"> presentó un recurso y ahora la Audiencia de Barcelona le ha dado la razón. </w:t>
      </w:r>
      <w:r w:rsidR="00655673" w:rsidRPr="00202326">
        <w:rPr>
          <w:lang w:val="es-ES"/>
        </w:rPr>
        <w:t xml:space="preserve">En su opinión, cuando se trata de “establecimientos comerciales, de hostelería o de ocio” existe responsabilidad “por omisión de medidas de vigilancia, mantenimiento, señalización, cuidado o precaución” que deben ser necesarias. En este caso, “la sola presencia del jabón líquido denota ya una falta de las medidas de mantenimiento” exigibles a </w:t>
      </w:r>
      <w:proofErr w:type="spellStart"/>
      <w:r w:rsidR="00655673" w:rsidRPr="00202326">
        <w:rPr>
          <w:lang w:val="es-ES"/>
        </w:rPr>
        <w:t>Lidl</w:t>
      </w:r>
      <w:proofErr w:type="spellEnd"/>
      <w:r w:rsidR="00655673" w:rsidRPr="00202326">
        <w:rPr>
          <w:lang w:val="es-ES"/>
        </w:rPr>
        <w:t xml:space="preserve">, según la resolución. </w:t>
      </w:r>
      <w:r w:rsidR="00655673" w:rsidRPr="00877B42">
        <w:rPr>
          <w:lang w:val="es-ES_tradnl"/>
        </w:rPr>
        <w:t>Que hubiera “jabón líquido derramado por el suelo”, señalan los jueces, “no puede considerarse un ri</w:t>
      </w:r>
      <w:r w:rsidRPr="00877B42">
        <w:rPr>
          <w:lang w:val="es-ES_tradnl"/>
        </w:rPr>
        <w:t>esgo normal de la vida”. L</w:t>
      </w:r>
      <w:r>
        <w:rPr>
          <w:lang w:val="es-ES_tradnl"/>
        </w:rPr>
        <w:t xml:space="preserve">a mujer </w:t>
      </w:r>
      <w:r w:rsidR="00655673" w:rsidRPr="00877B42">
        <w:rPr>
          <w:lang w:val="es-ES_tradnl"/>
        </w:rPr>
        <w:t>“se limitaba a caminar por el indicado establecimiento” —en concreto, por la zona de cajas— cuando cayó.</w:t>
      </w:r>
    </w:p>
    <w:p w:rsidR="00EB607C" w:rsidRPr="00877B42" w:rsidRDefault="00655673">
      <w:pPr>
        <w:jc w:val="both"/>
        <w:rPr>
          <w:lang w:val="es-ES_tradnl"/>
        </w:rPr>
      </w:pPr>
      <w:r w:rsidRPr="00877B42">
        <w:rPr>
          <w:lang w:val="es-ES_tradnl"/>
        </w:rPr>
        <w:t xml:space="preserve">La mujer estuvo 180 días </w:t>
      </w:r>
      <w:r w:rsidRPr="00C84E81">
        <w:rPr>
          <w:b/>
          <w:lang w:val="es-ES_tradnl"/>
        </w:rPr>
        <w:t>de baja</w:t>
      </w:r>
      <w:r w:rsidR="00C84E81">
        <w:rPr>
          <w:rStyle w:val="Appelnotedebasdep"/>
          <w:b/>
          <w:lang w:val="es-ES_tradnl"/>
        </w:rPr>
        <w:t xml:space="preserve"> </w:t>
      </w:r>
      <w:r w:rsidR="00C84E81">
        <w:rPr>
          <w:rStyle w:val="Appelnotedebasdep"/>
          <w:lang w:val="es-ES_tradnl"/>
        </w:rPr>
        <w:footnoteReference w:id="4"/>
      </w:r>
      <w:r w:rsidR="00C84E81">
        <w:rPr>
          <w:b/>
          <w:lang w:val="es-ES_tradnl"/>
        </w:rPr>
        <w:t xml:space="preserve"> </w:t>
      </w:r>
      <w:r w:rsidRPr="00877B42">
        <w:rPr>
          <w:lang w:val="es-ES_tradnl"/>
        </w:rPr>
        <w:t>y</w:t>
      </w:r>
      <w:r w:rsidR="00877B42">
        <w:rPr>
          <w:lang w:val="es-ES_tradnl"/>
        </w:rPr>
        <w:t xml:space="preserve"> aún tiene </w:t>
      </w:r>
      <w:r w:rsidRPr="00877B42">
        <w:rPr>
          <w:lang w:val="es-ES_tradnl"/>
        </w:rPr>
        <w:t>las secuelas de aquella accidentada co</w:t>
      </w:r>
      <w:r w:rsidR="00877B42">
        <w:rPr>
          <w:lang w:val="es-ES_tradnl"/>
        </w:rPr>
        <w:t xml:space="preserve">mpra: dolor </w:t>
      </w:r>
      <w:r w:rsidRPr="00877B42">
        <w:rPr>
          <w:lang w:val="es-ES_tradnl"/>
        </w:rPr>
        <w:t xml:space="preserve"> y limitación de movimien</w:t>
      </w:r>
      <w:r w:rsidR="00877B42">
        <w:rPr>
          <w:lang w:val="es-ES_tradnl"/>
        </w:rPr>
        <w:t>tos</w:t>
      </w:r>
      <w:r w:rsidRPr="00877B42">
        <w:rPr>
          <w:lang w:val="es-ES_tradnl"/>
        </w:rPr>
        <w:t>.</w:t>
      </w:r>
    </w:p>
    <w:p w:rsidR="00EB607C" w:rsidRPr="00877B42" w:rsidRDefault="00EB607C">
      <w:pPr>
        <w:jc w:val="both"/>
        <w:rPr>
          <w:lang w:val="es-ES_tradnl"/>
        </w:rPr>
      </w:pPr>
    </w:p>
    <w:sectPr w:rsidR="00EB607C" w:rsidRPr="00877B42" w:rsidSect="00A237F4">
      <w:pgSz w:w="11906" w:h="16838"/>
      <w:pgMar w:top="1418" w:right="1418" w:bottom="1418" w:left="1418" w:header="709" w:footer="709" w:gutter="0"/>
      <w:lnNumType w:countBy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240B" w:rsidRDefault="00F7240B">
      <w:r>
        <w:separator/>
      </w:r>
    </w:p>
  </w:endnote>
  <w:endnote w:type="continuationSeparator" w:id="0">
    <w:p w:rsidR="00F7240B" w:rsidRDefault="00F72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240B" w:rsidRDefault="00F7240B">
      <w:r>
        <w:separator/>
      </w:r>
    </w:p>
  </w:footnote>
  <w:footnote w:type="continuationSeparator" w:id="0">
    <w:p w:rsidR="00F7240B" w:rsidRDefault="00F7240B">
      <w:r>
        <w:continuationSeparator/>
      </w:r>
    </w:p>
  </w:footnote>
  <w:footnote w:id="1">
    <w:p w:rsidR="00C84E81" w:rsidRPr="00C84E81" w:rsidRDefault="00C84E81">
      <w:pPr>
        <w:pStyle w:val="Notedebasdepage"/>
      </w:pPr>
      <w:r>
        <w:rPr>
          <w:rStyle w:val="Appelnotedebasdep"/>
        </w:rPr>
        <w:footnoteRef/>
      </w:r>
      <w:r w:rsidRPr="00C84E81">
        <w:t xml:space="preserve"> </w:t>
      </w:r>
      <w:proofErr w:type="spellStart"/>
      <w:r w:rsidRPr="00C84E81">
        <w:rPr>
          <w:b/>
        </w:rPr>
        <w:t>Resbalar</w:t>
      </w:r>
      <w:proofErr w:type="spellEnd"/>
      <w:r w:rsidRPr="00C84E81">
        <w:t>: glisser</w:t>
      </w:r>
    </w:p>
  </w:footnote>
  <w:footnote w:id="2">
    <w:p w:rsidR="00C84E81" w:rsidRPr="00C84E81" w:rsidRDefault="00C84E81">
      <w:pPr>
        <w:pStyle w:val="Notedebasdepage"/>
      </w:pPr>
      <w:r>
        <w:rPr>
          <w:rStyle w:val="Appelnotedebasdep"/>
        </w:rPr>
        <w:footnoteRef/>
      </w:r>
      <w:r w:rsidRPr="00C84E81">
        <w:t xml:space="preserve"> </w:t>
      </w:r>
      <w:r w:rsidRPr="00C84E81">
        <w:rPr>
          <w:b/>
        </w:rPr>
        <w:t xml:space="preserve">El </w:t>
      </w:r>
      <w:proofErr w:type="spellStart"/>
      <w:r w:rsidRPr="00C84E81">
        <w:rPr>
          <w:b/>
        </w:rPr>
        <w:t>derrame</w:t>
      </w:r>
      <w:proofErr w:type="spellEnd"/>
      <w:r w:rsidRPr="00C84E81">
        <w:rPr>
          <w:b/>
        </w:rPr>
        <w:t xml:space="preserve"> de un bote de </w:t>
      </w:r>
      <w:proofErr w:type="spellStart"/>
      <w:r w:rsidRPr="00C84E81">
        <w:rPr>
          <w:b/>
        </w:rPr>
        <w:t>jabón</w:t>
      </w:r>
      <w:proofErr w:type="spellEnd"/>
      <w:r w:rsidRPr="00C84E81">
        <w:rPr>
          <w:b/>
        </w:rPr>
        <w:t xml:space="preserve">: </w:t>
      </w:r>
      <w:r w:rsidRPr="00C84E81">
        <w:t>du savon répandu (</w:t>
      </w:r>
      <w:proofErr w:type="spellStart"/>
      <w:r w:rsidRPr="00C84E81">
        <w:t>derramar</w:t>
      </w:r>
      <w:proofErr w:type="spellEnd"/>
      <w:r w:rsidRPr="00C84E81">
        <w:t xml:space="preserve"> </w:t>
      </w:r>
      <w:proofErr w:type="gramStart"/>
      <w:r w:rsidRPr="00C84E81">
        <w:t>:répandre</w:t>
      </w:r>
      <w:proofErr w:type="gramEnd"/>
      <w:r w:rsidRPr="00C84E81">
        <w:t>)</w:t>
      </w:r>
    </w:p>
  </w:footnote>
  <w:footnote w:id="3">
    <w:p w:rsidR="00C84E81" w:rsidRPr="00C84E81" w:rsidRDefault="00C84E81">
      <w:pPr>
        <w:pStyle w:val="Notedebasdepage"/>
        <w:rPr>
          <w:lang w:val="es-ES"/>
        </w:rPr>
      </w:pPr>
      <w:r>
        <w:rPr>
          <w:rStyle w:val="Appelnotedebasdep"/>
        </w:rPr>
        <w:footnoteRef/>
      </w:r>
      <w:r w:rsidRPr="00C84E81">
        <w:rPr>
          <w:lang w:val="es-ES"/>
        </w:rPr>
        <w:t xml:space="preserve"> </w:t>
      </w:r>
      <w:r>
        <w:rPr>
          <w:b/>
          <w:lang w:val="es-ES_tradnl"/>
        </w:rPr>
        <w:t>L</w:t>
      </w:r>
      <w:r w:rsidRPr="00877B42">
        <w:rPr>
          <w:b/>
          <w:lang w:val="es-ES_tradnl"/>
        </w:rPr>
        <w:t>a demanda</w:t>
      </w:r>
      <w:r>
        <w:rPr>
          <w:b/>
          <w:lang w:val="es-ES_tradnl"/>
        </w:rPr>
        <w:t xml:space="preserve">: </w:t>
      </w:r>
      <w:r w:rsidRPr="00C84E81">
        <w:rPr>
          <w:lang w:val="es-ES_tradnl"/>
        </w:rPr>
        <w:t xml:space="preserve">la </w:t>
      </w:r>
      <w:proofErr w:type="spellStart"/>
      <w:r w:rsidRPr="00C84E81">
        <w:rPr>
          <w:lang w:val="es-ES_tradnl"/>
        </w:rPr>
        <w:t>plainte</w:t>
      </w:r>
      <w:proofErr w:type="spellEnd"/>
    </w:p>
  </w:footnote>
  <w:footnote w:id="4">
    <w:p w:rsidR="00C84E81" w:rsidRPr="00C84E81" w:rsidRDefault="00C84E81">
      <w:pPr>
        <w:pStyle w:val="Notedebasdepage"/>
        <w:rPr>
          <w:lang w:val="es-ES"/>
        </w:rPr>
      </w:pPr>
      <w:r>
        <w:rPr>
          <w:rStyle w:val="Appelnotedebasdep"/>
        </w:rPr>
        <w:footnoteRef/>
      </w:r>
      <w:r w:rsidRPr="00C84E81">
        <w:rPr>
          <w:lang w:val="es-ES"/>
        </w:rPr>
        <w:t xml:space="preserve"> </w:t>
      </w:r>
      <w:r w:rsidRPr="002555BE">
        <w:rPr>
          <w:b/>
          <w:lang w:val="es-ES"/>
        </w:rPr>
        <w:t>D</w:t>
      </w:r>
      <w:proofErr w:type="spellStart"/>
      <w:r w:rsidRPr="00C84E81">
        <w:rPr>
          <w:b/>
          <w:lang w:val="es-ES_tradnl"/>
        </w:rPr>
        <w:t>e</w:t>
      </w:r>
      <w:proofErr w:type="spellEnd"/>
      <w:r w:rsidRPr="00C84E81">
        <w:rPr>
          <w:b/>
          <w:lang w:val="es-ES_tradnl"/>
        </w:rPr>
        <w:t xml:space="preserve"> baja</w:t>
      </w:r>
      <w:r>
        <w:rPr>
          <w:b/>
          <w:lang w:val="es-ES_tradnl"/>
        </w:rPr>
        <w:t xml:space="preserve">: </w:t>
      </w:r>
      <w:r w:rsidRPr="00C84E81">
        <w:rPr>
          <w:lang w:val="es-ES_tradnl"/>
        </w:rPr>
        <w:t xml:space="preserve">en </w:t>
      </w:r>
      <w:proofErr w:type="spellStart"/>
      <w:r w:rsidRPr="00C84E81">
        <w:rPr>
          <w:lang w:val="es-ES_tradnl"/>
        </w:rPr>
        <w:t>arrêt</w:t>
      </w:r>
      <w:proofErr w:type="spellEnd"/>
      <w:r w:rsidRPr="00C84E81">
        <w:rPr>
          <w:lang w:val="es-ES_tradnl"/>
        </w:rPr>
        <w:t xml:space="preserve"> </w:t>
      </w:r>
      <w:proofErr w:type="spellStart"/>
      <w:r w:rsidRPr="00C84E81">
        <w:rPr>
          <w:lang w:val="es-ES_tradnl"/>
        </w:rPr>
        <w:t>maladie</w:t>
      </w:r>
      <w:proofErr w:type="spellEnd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B42"/>
    <w:rsid w:val="00076D61"/>
    <w:rsid w:val="00202326"/>
    <w:rsid w:val="002555BE"/>
    <w:rsid w:val="002C233D"/>
    <w:rsid w:val="002C3F8E"/>
    <w:rsid w:val="00561C66"/>
    <w:rsid w:val="00655673"/>
    <w:rsid w:val="00877B42"/>
    <w:rsid w:val="00966331"/>
    <w:rsid w:val="00A237F4"/>
    <w:rsid w:val="00C22A2F"/>
    <w:rsid w:val="00C6659D"/>
    <w:rsid w:val="00C84E81"/>
    <w:rsid w:val="00E23461"/>
    <w:rsid w:val="00EB607C"/>
    <w:rsid w:val="00F35588"/>
    <w:rsid w:val="00F72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sz w:val="28"/>
    </w:rPr>
  </w:style>
  <w:style w:type="paragraph" w:styleId="Corpsdetexte">
    <w:name w:val="Body Text"/>
    <w:basedOn w:val="Normal"/>
    <w:semiHidden/>
    <w:pPr>
      <w:spacing w:after="120"/>
      <w:jc w:val="both"/>
    </w:pPr>
  </w:style>
  <w:style w:type="paragraph" w:styleId="Notedebasdepage">
    <w:name w:val="footnote text"/>
    <w:basedOn w:val="Normal"/>
    <w:semiHidden/>
    <w:rPr>
      <w:sz w:val="20"/>
      <w:szCs w:val="20"/>
    </w:rPr>
  </w:style>
  <w:style w:type="character" w:styleId="Appelnotedebasdep">
    <w:name w:val="footnote reference"/>
    <w:basedOn w:val="Policepardfaut"/>
    <w:semiHidden/>
    <w:rPr>
      <w:vertAlign w:val="superscript"/>
    </w:rPr>
  </w:style>
  <w:style w:type="character" w:styleId="Numrodeligne">
    <w:name w:val="line number"/>
    <w:basedOn w:val="Policepardfaut"/>
    <w:uiPriority w:val="99"/>
    <w:semiHidden/>
    <w:unhideWhenUsed/>
    <w:rsid w:val="002023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sz w:val="28"/>
    </w:rPr>
  </w:style>
  <w:style w:type="paragraph" w:styleId="Corpsdetexte">
    <w:name w:val="Body Text"/>
    <w:basedOn w:val="Normal"/>
    <w:semiHidden/>
    <w:pPr>
      <w:spacing w:after="120"/>
      <w:jc w:val="both"/>
    </w:pPr>
  </w:style>
  <w:style w:type="paragraph" w:styleId="Notedebasdepage">
    <w:name w:val="footnote text"/>
    <w:basedOn w:val="Normal"/>
    <w:semiHidden/>
    <w:rPr>
      <w:sz w:val="20"/>
      <w:szCs w:val="20"/>
    </w:rPr>
  </w:style>
  <w:style w:type="character" w:styleId="Appelnotedebasdep">
    <w:name w:val="footnote reference"/>
    <w:basedOn w:val="Policepardfaut"/>
    <w:semiHidden/>
    <w:rPr>
      <w:vertAlign w:val="superscript"/>
    </w:rPr>
  </w:style>
  <w:style w:type="character" w:styleId="Numrodeligne">
    <w:name w:val="line number"/>
    <w:basedOn w:val="Policepardfaut"/>
    <w:uiPriority w:val="99"/>
    <w:semiHidden/>
    <w:unhideWhenUsed/>
    <w:rsid w:val="002023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8A99B9-7DF9-407E-8EE5-0818566D3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338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Lidl pagará a una clienta que resbaló con jabón líquido en un ‘super’ de Cubelles</vt:lpstr>
    </vt:vector>
  </TitlesOfParts>
  <Company/>
  <LinksUpToDate>false</LinksUpToDate>
  <CharactersWithSpaces>2196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Lidl pagará a una clienta que resbaló con jabón líquido en un ‘super’ de Cubelles</dc:title>
  <dc:creator>Concepcion</dc:creator>
  <cp:lastModifiedBy>Valentine</cp:lastModifiedBy>
  <cp:revision>3</cp:revision>
  <dcterms:created xsi:type="dcterms:W3CDTF">2014-02-24T08:38:00Z</dcterms:created>
  <dcterms:modified xsi:type="dcterms:W3CDTF">2014-02-27T15:23:00Z</dcterms:modified>
</cp:coreProperties>
</file>