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F55" w:rsidRDefault="00A17F55" w:rsidP="00A17F55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s-ES_tradnl" w:eastAsia="fr-F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s-ES_tradnl" w:eastAsia="fr-FR"/>
        </w:rPr>
        <w:t>BTS NR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s-ES_tradnl" w:eastAsia="fr-FR"/>
        </w:rPr>
        <w:t>C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s-ES_tradnl" w:eastAsia="fr-FR"/>
        </w:rPr>
        <w:t xml:space="preserve"> 2014 </w:t>
      </w:r>
    </w:p>
    <w:p w:rsidR="00A17F55" w:rsidRDefault="00A17F55" w:rsidP="00A17F55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s-ES_tradnl" w:eastAsia="fr-F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s-ES_tradnl" w:eastAsia="fr-FR"/>
        </w:rPr>
        <w:t>Turismo intenta frenar la estacionalidad</w:t>
      </w:r>
    </w:p>
    <w:p w:rsidR="00A17F55" w:rsidRDefault="00A17F55" w:rsidP="00A17F55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s-ES_tradnl" w:eastAsia="fr-F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s-ES_tradnl" w:eastAsia="fr-FR"/>
        </w:rPr>
        <w:t xml:space="preserve">                                                                                                Texto n° 10</w:t>
      </w:r>
    </w:p>
    <w:p w:rsidR="00A17F55" w:rsidRDefault="00A17F55" w:rsidP="00A17F55">
      <w:pPr>
        <w:suppressLineNumbers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s-ES_tradnl" w:eastAsia="fr-FR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  <w:lang w:val="es-ES_tradnl" w:eastAsia="fr-FR"/>
        </w:rPr>
        <w:t xml:space="preserve">El País </w:t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es-ES_tradnl" w:eastAsia="fr-FR"/>
        </w:rPr>
        <w:t>02/01/2014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s-ES_tradnl" w:eastAsia="fr-FR"/>
        </w:rPr>
        <w:t xml:space="preserve"> </w:t>
      </w:r>
    </w:p>
    <w:p w:rsidR="00A17F55" w:rsidRDefault="00A17F55" w:rsidP="00A17F55">
      <w:pPr>
        <w:pStyle w:val="En-tte"/>
        <w:suppressLineNumbers/>
        <w:rPr>
          <w:lang w:val="es-ES_tradnl"/>
        </w:rPr>
      </w:pPr>
    </w:p>
    <w:p w:rsidR="00A17F55" w:rsidRDefault="00A17F55" w:rsidP="00A17F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 xml:space="preserve">Andalucía ha vivido en 2013 </w:t>
      </w:r>
      <w:hyperlink r:id="rId7" w:tgtFrame="_blank" w:history="1">
        <w:r>
          <w:rPr>
            <w:rStyle w:val="Lienhypertext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s-ES_tradnl" w:eastAsia="fr-FR"/>
          </w:rPr>
          <w:t>uno de los mejores años turísticos de su historia.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 xml:space="preserve"> La tendencia negativa desapareció en mayo y la principal industria andaluza solo ha dado satisfacciones desde entonces... La temporada alta fue magnífica, pero el gran problema al que se enfrenta el sector es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fr-FR"/>
        </w:rPr>
        <w:t>la estacionalidad</w:t>
      </w:r>
      <w:r>
        <w:rPr>
          <w:rStyle w:val="Appelnotedebasdep"/>
          <w:rFonts w:ascii="Times New Roman" w:eastAsia="Times New Roman" w:hAnsi="Times New Roman" w:cs="Times New Roman"/>
          <w:sz w:val="24"/>
          <w:szCs w:val="24"/>
          <w:lang w:val="es-ES_tradnl" w:eastAsia="fr-FR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 xml:space="preserve">. La mitad de las plazas hoteleras del litoral, concentradas en </w:t>
      </w:r>
      <w:hyperlink r:id="rId8" w:tgtFrame="_blank" w:history="1">
        <w:r>
          <w:rPr>
            <w:rStyle w:val="Lienhypertext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s-ES_tradnl" w:eastAsia="fr-FR"/>
          </w:rPr>
          <w:t>el 45% de los establecimientos, cierra en invierno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>.</w:t>
      </w:r>
    </w:p>
    <w:p w:rsidR="00A17F55" w:rsidRDefault="00A17F55" w:rsidP="00A17F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 xml:space="preserve">La Consejería de Turismo ha estudiado la situación de los hoteles de la costa andaluza para elaborar un plan estratégico contra la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fr-FR"/>
        </w:rPr>
        <w:t xml:space="preserve">estacionalidad, 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 xml:space="preserve">para lograr que el destino Andalucía esté “abierto los 12 meses del año” y sea referencia tanto a nivel nacional como internacional. El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fr-FR"/>
        </w:rPr>
        <w:t>reto</w:t>
      </w:r>
      <w:r>
        <w:rPr>
          <w:rStyle w:val="Appelnotedebasdep"/>
          <w:rFonts w:ascii="Times New Roman" w:eastAsia="Times New Roman" w:hAnsi="Times New Roman" w:cs="Times New Roman"/>
          <w:sz w:val="24"/>
          <w:szCs w:val="24"/>
          <w:lang w:val="es-ES_tradnl" w:eastAsia="fr-FR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 xml:space="preserve"> no es pequeño y se plantea como una iniciativa que debe dar frutos poco a poco.</w:t>
      </w:r>
    </w:p>
    <w:p w:rsidR="00A17F55" w:rsidRDefault="00A17F55" w:rsidP="00A17F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</w:pPr>
      <w:bookmarkStart w:id="1" w:name="sumario_1"/>
      <w:bookmarkEnd w:id="1"/>
      <w:r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 xml:space="preserve">Un plan promociona el destino en mercados que viajan todo el año como el británico, el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>alemán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 xml:space="preserve"> o el nórdico, que representan el 23% de la demanda turística de Andalucía. Potenciar el turismo de grandes ciudades, el de congresos o el de compras, además del segmento cultural o el de golf, son otras actuaciones con las que la consejería pretende combatir este fenómeno. Es decir, aprovechar la diversidad de la región y los puntos donde es más competitiva.</w:t>
      </w:r>
    </w:p>
    <w:p w:rsidR="00A17F55" w:rsidRDefault="00A17F55" w:rsidP="00A17F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 xml:space="preserve">Se parte de la base de que el destino Andalucía, con un clima privilegiado y unas plazas hoteleras de primer nivel, debe estar abierto el máximo tiempo posible. El plan que termina la Junta se centrará en cuatro líneas estratégicas: oferta, demanda, competitividad y turismo social. El objetivo es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fr-FR"/>
        </w:rPr>
        <w:t>revertir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s-ES_tradnl" w:eastAsia="fr-FR"/>
        </w:rPr>
        <w:t xml:space="preserve"> </w:t>
      </w:r>
      <w:r>
        <w:rPr>
          <w:rStyle w:val="Appelnotedebasdep"/>
          <w:rFonts w:ascii="Times New Roman" w:eastAsia="Times New Roman" w:hAnsi="Times New Roman" w:cs="Times New Roman"/>
          <w:sz w:val="24"/>
          <w:szCs w:val="24"/>
          <w:lang w:val="es-ES_tradnl" w:eastAsia="fr-FR"/>
        </w:rPr>
        <w:footnoteReference w:id="3"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s-ES_tradnl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>una tendencia que se ha acentuado con la crisis. En 2007, el 36% de los viajeros que llegaron a Andalucía lo hicieron entre julio y septiembre, cifra que en 2012 se elevó al 37,1% (un 43% en el litoral).</w:t>
      </w:r>
    </w:p>
    <w:p w:rsidR="00A17F55" w:rsidRDefault="00A17F55" w:rsidP="00A17F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</w:pPr>
    </w:p>
    <w:p w:rsidR="0074345D" w:rsidRPr="00A17F55" w:rsidRDefault="0074345D">
      <w:pPr>
        <w:rPr>
          <w:lang w:val="es-ES_tradnl"/>
        </w:rPr>
      </w:pPr>
    </w:p>
    <w:sectPr w:rsidR="0074345D" w:rsidRPr="00A17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72D" w:rsidRDefault="00C1772D" w:rsidP="00A17F55">
      <w:pPr>
        <w:spacing w:after="0" w:line="240" w:lineRule="auto"/>
      </w:pPr>
      <w:r>
        <w:separator/>
      </w:r>
    </w:p>
  </w:endnote>
  <w:endnote w:type="continuationSeparator" w:id="0">
    <w:p w:rsidR="00C1772D" w:rsidRDefault="00C1772D" w:rsidP="00A17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72D" w:rsidRDefault="00C1772D" w:rsidP="00A17F55">
      <w:pPr>
        <w:spacing w:after="0" w:line="240" w:lineRule="auto"/>
      </w:pPr>
      <w:r>
        <w:separator/>
      </w:r>
    </w:p>
  </w:footnote>
  <w:footnote w:type="continuationSeparator" w:id="0">
    <w:p w:rsidR="00C1772D" w:rsidRDefault="00C1772D" w:rsidP="00A17F55">
      <w:pPr>
        <w:spacing w:after="0" w:line="240" w:lineRule="auto"/>
      </w:pPr>
      <w:r>
        <w:continuationSeparator/>
      </w:r>
    </w:p>
  </w:footnote>
  <w:footnote w:id="1">
    <w:p w:rsidR="00A17F55" w:rsidRDefault="00A17F55" w:rsidP="00A17F55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fr-FR"/>
        </w:rPr>
        <w:t>la</w:t>
      </w:r>
      <w:proofErr w:type="gramEnd"/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estacionalidad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>:</w:t>
      </w:r>
      <w:r>
        <w:t xml:space="preserve"> le caractère saisonnier</w:t>
      </w:r>
    </w:p>
  </w:footnote>
  <w:footnote w:id="2">
    <w:p w:rsidR="00A17F55" w:rsidRDefault="00A17F55" w:rsidP="00A17F55">
      <w:pPr>
        <w:pStyle w:val="Notedebasdepage"/>
      </w:pPr>
      <w:r>
        <w:rPr>
          <w:rStyle w:val="Appelnotedebasdep"/>
        </w:rPr>
        <w:footnoteRef/>
      </w:r>
      <w:r>
        <w:t xml:space="preserve"> Un </w:t>
      </w:r>
      <w:proofErr w:type="spellStart"/>
      <w:r>
        <w:t>reto</w:t>
      </w:r>
      <w:proofErr w:type="spellEnd"/>
      <w:r>
        <w:t xml:space="preserve"> : un défi</w:t>
      </w:r>
    </w:p>
  </w:footnote>
  <w:footnote w:id="3">
    <w:p w:rsidR="00A17F55" w:rsidRDefault="00A17F55" w:rsidP="00A17F55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>
        <w:t>Revertir</w:t>
      </w:r>
      <w:proofErr w:type="spellEnd"/>
      <w:r>
        <w:t xml:space="preserve"> : inverser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F55"/>
    <w:rsid w:val="0074345D"/>
    <w:rsid w:val="00A17F55"/>
    <w:rsid w:val="00C1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F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17F5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17F55"/>
    <w:rPr>
      <w:sz w:val="20"/>
      <w:szCs w:val="20"/>
    </w:rPr>
  </w:style>
  <w:style w:type="paragraph" w:styleId="En-tte">
    <w:name w:val="header"/>
    <w:basedOn w:val="Normal"/>
    <w:link w:val="En-tteCar"/>
    <w:uiPriority w:val="99"/>
    <w:semiHidden/>
    <w:unhideWhenUsed/>
    <w:rsid w:val="00A17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17F55"/>
  </w:style>
  <w:style w:type="character" w:styleId="Appelnotedebasdep">
    <w:name w:val="footnote reference"/>
    <w:basedOn w:val="Policepardfaut"/>
    <w:uiPriority w:val="99"/>
    <w:semiHidden/>
    <w:unhideWhenUsed/>
    <w:rsid w:val="00A17F55"/>
    <w:rPr>
      <w:vertAlign w:val="superscript"/>
    </w:rPr>
  </w:style>
  <w:style w:type="character" w:styleId="Lienhypertexte">
    <w:name w:val="Hyperlink"/>
    <w:basedOn w:val="Policepardfaut"/>
    <w:uiPriority w:val="99"/>
    <w:semiHidden/>
    <w:unhideWhenUsed/>
    <w:rsid w:val="00A17F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F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17F5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17F55"/>
    <w:rPr>
      <w:sz w:val="20"/>
      <w:szCs w:val="20"/>
    </w:rPr>
  </w:style>
  <w:style w:type="paragraph" w:styleId="En-tte">
    <w:name w:val="header"/>
    <w:basedOn w:val="Normal"/>
    <w:link w:val="En-tteCar"/>
    <w:uiPriority w:val="99"/>
    <w:semiHidden/>
    <w:unhideWhenUsed/>
    <w:rsid w:val="00A17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17F55"/>
  </w:style>
  <w:style w:type="character" w:styleId="Appelnotedebasdep">
    <w:name w:val="footnote reference"/>
    <w:basedOn w:val="Policepardfaut"/>
    <w:uiPriority w:val="99"/>
    <w:semiHidden/>
    <w:unhideWhenUsed/>
    <w:rsid w:val="00A17F55"/>
    <w:rPr>
      <w:vertAlign w:val="superscript"/>
    </w:rPr>
  </w:style>
  <w:style w:type="character" w:styleId="Lienhypertexte">
    <w:name w:val="Hyperlink"/>
    <w:basedOn w:val="Policepardfaut"/>
    <w:uiPriority w:val="99"/>
    <w:semiHidden/>
    <w:unhideWhenUsed/>
    <w:rsid w:val="00A17F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caa.elpais.com/ccaa/2012/06/23/andalucia/1340462282_95755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caa.elpais.com/ccaa/2013/07/30/andalucia/1375208099_159358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4</vt:i4>
      </vt:variant>
    </vt:vector>
  </HeadingPairs>
  <TitlesOfParts>
    <vt:vector size="5" baseType="lpstr">
      <vt:lpstr/>
      <vt:lpstr>BTS NRC 2014 </vt:lpstr>
      <vt:lpstr>Turismo intenta frenar la estacionalidad</vt:lpstr>
      <vt:lpstr/>
      <vt:lpstr>El País 02/01/2014 </vt:lpstr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Valentine</dc:creator>
  <cp:lastModifiedBy>Valentine</cp:lastModifiedBy>
  <cp:revision>1</cp:revision>
  <dcterms:created xsi:type="dcterms:W3CDTF">2014-03-16T17:17:00Z</dcterms:created>
  <dcterms:modified xsi:type="dcterms:W3CDTF">2014-03-16T17:19:00Z</dcterms:modified>
</cp:coreProperties>
</file>