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D2" w:rsidRPr="006E44D2" w:rsidRDefault="006E44D2" w:rsidP="006E44D2">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s-ES"/>
        </w:rPr>
      </w:pPr>
      <w:r w:rsidRPr="006E44D2">
        <w:rPr>
          <w:rFonts w:ascii="Times New Roman" w:hAnsi="Times New Roman" w:cs="Times New Roman"/>
          <w:sz w:val="28"/>
          <w:szCs w:val="28"/>
          <w:lang w:val="es-ES"/>
        </w:rPr>
        <w:t>BTS MUC ESPAGNOL SESSION 2015</w:t>
      </w:r>
    </w:p>
    <w:p w:rsidR="006E44D2" w:rsidRPr="006E44D2" w:rsidRDefault="006E44D2" w:rsidP="006E44D2">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s-ES"/>
        </w:rPr>
      </w:pPr>
    </w:p>
    <w:p w:rsidR="006E44D2" w:rsidRPr="006E44D2" w:rsidRDefault="006E44D2" w:rsidP="006E44D2">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
        </w:rPr>
      </w:pPr>
      <w:r w:rsidRPr="006E44D2">
        <w:rPr>
          <w:rFonts w:ascii="Times New Roman" w:hAnsi="Times New Roman" w:cs="Times New Roman"/>
          <w:b/>
          <w:sz w:val="28"/>
          <w:szCs w:val="28"/>
          <w:lang w:val="es-ES"/>
        </w:rPr>
        <w:t>ELLAS TIENEN MÁS ESTUDIO Y ELLOS, MÁS TRABAJO</w:t>
      </w:r>
    </w:p>
    <w:p w:rsidR="006E44D2" w:rsidRPr="006E44D2" w:rsidRDefault="006E44D2" w:rsidP="006E44D2">
      <w:pPr>
        <w:suppressLineNumbers/>
        <w:pBdr>
          <w:top w:val="single" w:sz="4" w:space="1" w:color="auto"/>
          <w:left w:val="single" w:sz="4" w:space="4" w:color="auto"/>
          <w:bottom w:val="single" w:sz="4" w:space="1" w:color="auto"/>
          <w:right w:val="single" w:sz="4" w:space="4" w:color="auto"/>
        </w:pBdr>
        <w:jc w:val="right"/>
        <w:rPr>
          <w:rFonts w:ascii="Times New Roman" w:hAnsi="Times New Roman" w:cs="Times New Roman"/>
          <w:sz w:val="28"/>
          <w:szCs w:val="28"/>
          <w:lang w:val="es-ES"/>
        </w:rPr>
      </w:pPr>
      <w:r w:rsidRPr="006E44D2">
        <w:rPr>
          <w:rFonts w:ascii="Times New Roman" w:hAnsi="Times New Roman" w:cs="Times New Roman"/>
          <w:sz w:val="28"/>
          <w:szCs w:val="28"/>
          <w:lang w:val="es-ES"/>
        </w:rPr>
        <w:t>TEXTE N°2</w:t>
      </w:r>
    </w:p>
    <w:p w:rsidR="006E44D2" w:rsidRPr="006E44D2" w:rsidRDefault="006E44D2" w:rsidP="006E44D2">
      <w:pPr>
        <w:suppressLineNumbers/>
        <w:rPr>
          <w:lang w:val="es-ES"/>
        </w:rPr>
      </w:pPr>
    </w:p>
    <w:p w:rsidR="006E44D2" w:rsidRPr="001B2D22" w:rsidRDefault="006E44D2" w:rsidP="006E44D2">
      <w:pPr>
        <w:suppressLineNumbers/>
        <w:rPr>
          <w:i/>
          <w:lang w:val="es-ES"/>
        </w:rPr>
      </w:pPr>
      <w:r w:rsidRPr="001B2D22">
        <w:rPr>
          <w:i/>
          <w:lang w:val="es-ES"/>
        </w:rPr>
        <w:t>El País.com, 19 de enero de 2015</w:t>
      </w:r>
    </w:p>
    <w:p w:rsidR="006E44D2" w:rsidRPr="006E44D2" w:rsidRDefault="006E44D2" w:rsidP="001B2D22">
      <w:pPr>
        <w:jc w:val="both"/>
        <w:rPr>
          <w:rFonts w:ascii="Times New Roman" w:hAnsi="Times New Roman" w:cs="Times New Roman"/>
          <w:sz w:val="24"/>
          <w:szCs w:val="24"/>
          <w:lang w:val="es-ES"/>
        </w:rPr>
      </w:pPr>
      <w:r w:rsidRPr="006E44D2">
        <w:rPr>
          <w:rFonts w:ascii="Times New Roman" w:hAnsi="Times New Roman" w:cs="Times New Roman"/>
          <w:sz w:val="24"/>
          <w:szCs w:val="24"/>
          <w:lang w:val="es-ES"/>
        </w:rPr>
        <w:t xml:space="preserve">La historia se repite en casi todos los países de la OCDE, (Organización para la Cooperación y el Desarrollo Económico) incluido España. Hay más mujeres con estudios superiores entre la población de jóvenes de 25 a 34 años de edad, pero hay más hombres que obtienen un trabajo con ese nivel de titulación mientras ellas acaban </w:t>
      </w:r>
      <w:r w:rsidRPr="001B2D22">
        <w:rPr>
          <w:rFonts w:ascii="Times New Roman" w:hAnsi="Times New Roman" w:cs="Times New Roman"/>
          <w:b/>
          <w:sz w:val="24"/>
          <w:szCs w:val="24"/>
          <w:lang w:val="es-ES"/>
        </w:rPr>
        <w:t>engrosando</w:t>
      </w:r>
      <w:r w:rsidRPr="001B2D22">
        <w:rPr>
          <w:rFonts w:ascii="Times New Roman" w:hAnsi="Times New Roman" w:cs="Times New Roman"/>
          <w:b/>
          <w:sz w:val="24"/>
          <w:szCs w:val="24"/>
          <w:vertAlign w:val="superscript"/>
          <w:lang w:val="es-ES"/>
        </w:rPr>
        <w:t>1</w:t>
      </w:r>
      <w:r w:rsidRPr="006E44D2">
        <w:rPr>
          <w:rFonts w:ascii="Times New Roman" w:hAnsi="Times New Roman" w:cs="Times New Roman"/>
          <w:sz w:val="24"/>
          <w:szCs w:val="24"/>
          <w:lang w:val="es-ES"/>
        </w:rPr>
        <w:t xml:space="preserve"> más a menudo las listas del paro. La Organización para la Cooperación y el Desarrollo Económico (OCDE) lo refleja en su último estudio, presentado este lunes, en el que subraya que esa diferencia entre la preparación académica y el empleo está estrechamente relacionada con la </w:t>
      </w:r>
      <w:r w:rsidRPr="001B2D22">
        <w:rPr>
          <w:rFonts w:ascii="Times New Roman" w:hAnsi="Times New Roman" w:cs="Times New Roman"/>
          <w:b/>
          <w:sz w:val="24"/>
          <w:szCs w:val="24"/>
          <w:lang w:val="es-ES"/>
        </w:rPr>
        <w:t>escasez</w:t>
      </w:r>
      <w:r w:rsidRPr="001B2D22">
        <w:rPr>
          <w:rFonts w:ascii="Times New Roman" w:hAnsi="Times New Roman" w:cs="Times New Roman"/>
          <w:b/>
          <w:sz w:val="24"/>
          <w:szCs w:val="24"/>
          <w:vertAlign w:val="superscript"/>
          <w:lang w:val="es-ES"/>
        </w:rPr>
        <w:t>2</w:t>
      </w:r>
      <w:r w:rsidRPr="006E44D2">
        <w:rPr>
          <w:rFonts w:ascii="Times New Roman" w:hAnsi="Times New Roman" w:cs="Times New Roman"/>
          <w:sz w:val="24"/>
          <w:szCs w:val="24"/>
          <w:lang w:val="es-ES"/>
        </w:rPr>
        <w:t xml:space="preserve"> de servicios para atender a los hijos, como las guarderías, o las diferencias habituales de salarios entre hombres y mujeres.</w:t>
      </w:r>
    </w:p>
    <w:p w:rsidR="006E44D2" w:rsidRPr="006E44D2" w:rsidRDefault="006E44D2" w:rsidP="001B2D22">
      <w:pPr>
        <w:jc w:val="both"/>
        <w:rPr>
          <w:rFonts w:ascii="Times New Roman" w:hAnsi="Times New Roman" w:cs="Times New Roman"/>
          <w:sz w:val="24"/>
          <w:szCs w:val="24"/>
          <w:lang w:val="es-ES"/>
        </w:rPr>
      </w:pPr>
      <w:r w:rsidRPr="006E44D2">
        <w:rPr>
          <w:rFonts w:ascii="Times New Roman" w:hAnsi="Times New Roman" w:cs="Times New Roman"/>
          <w:sz w:val="24"/>
          <w:szCs w:val="24"/>
          <w:lang w:val="es-ES"/>
        </w:rPr>
        <w:t>El informe Panorama de la Educación, presentado ayer, analiza la relación entre el empleo y los indicadores de rendimiento educativo. En el estudio se incluyen los datos educativos de 34 países de la OCDE y de otros invitados —Brasil, Rusia, Argentina, China, Colombia, India…— con datos de distintos años en algunos casos. Solo en Holanda hay trabajando tantas mujeres de 25 a 34 años cualificadas como hombres, según la tabla. Y del, otro lado, sólo en México y Turquía el porcentaje de alumnos con estudios superiores sobrepasa al de alumnas.</w:t>
      </w:r>
    </w:p>
    <w:p w:rsidR="006E44D2" w:rsidRPr="006E44D2" w:rsidRDefault="006E44D2" w:rsidP="001B2D22">
      <w:pPr>
        <w:jc w:val="both"/>
        <w:rPr>
          <w:rFonts w:ascii="Times New Roman" w:hAnsi="Times New Roman" w:cs="Times New Roman"/>
          <w:sz w:val="24"/>
          <w:szCs w:val="24"/>
          <w:lang w:val="es-ES"/>
        </w:rPr>
      </w:pPr>
      <w:r w:rsidRPr="006E44D2">
        <w:rPr>
          <w:rFonts w:ascii="Times New Roman" w:hAnsi="Times New Roman" w:cs="Times New Roman"/>
          <w:sz w:val="24"/>
          <w:szCs w:val="24"/>
          <w:lang w:val="es-ES"/>
        </w:rPr>
        <w:t>España se sitúa en la parte baja de la tabla por detrás de la media de la OCDE, principalmente porque sigue teniendo un nivel de desempleo de los más altos aunque la proporción de mujeres con un elevado nivel de formación supera la media.</w:t>
      </w:r>
    </w:p>
    <w:p w:rsidR="006E44D2" w:rsidRPr="006E44D2" w:rsidRDefault="006E44D2" w:rsidP="001B2D22">
      <w:pPr>
        <w:jc w:val="both"/>
        <w:rPr>
          <w:rFonts w:ascii="Times New Roman" w:hAnsi="Times New Roman" w:cs="Times New Roman"/>
          <w:sz w:val="24"/>
          <w:szCs w:val="24"/>
          <w:lang w:val="es-ES"/>
        </w:rPr>
      </w:pPr>
      <w:r w:rsidRPr="006E44D2">
        <w:rPr>
          <w:rFonts w:ascii="Times New Roman" w:hAnsi="Times New Roman" w:cs="Times New Roman"/>
          <w:sz w:val="24"/>
          <w:szCs w:val="24"/>
          <w:lang w:val="es-ES"/>
        </w:rPr>
        <w:t xml:space="preserve">En general, según la OCDE, sólo el 66% de las mujeres están empleadas en comparación con el 80% de los hombres. </w:t>
      </w:r>
    </w:p>
    <w:p w:rsidR="006E44D2" w:rsidRPr="006E44D2" w:rsidRDefault="006E44D2" w:rsidP="001B2D22">
      <w:pPr>
        <w:jc w:val="both"/>
        <w:rPr>
          <w:rFonts w:ascii="Times New Roman" w:hAnsi="Times New Roman" w:cs="Times New Roman"/>
          <w:sz w:val="24"/>
          <w:szCs w:val="24"/>
          <w:lang w:val="es-ES"/>
        </w:rPr>
      </w:pPr>
      <w:r w:rsidRPr="006E44D2">
        <w:rPr>
          <w:rFonts w:ascii="Times New Roman" w:hAnsi="Times New Roman" w:cs="Times New Roman"/>
          <w:sz w:val="24"/>
          <w:szCs w:val="24"/>
          <w:lang w:val="es-ES"/>
        </w:rPr>
        <w:t xml:space="preserve">El organismo subraya que las diferencias de género relacionadas con el mercado laboral “podrían ser el resultado de que hay más mujeres que se quedan fuera de la fuerza de trabajo, probablemente debido a los papeles tradicionales en lo que respecta a la unidad familiar”. Pone como ejemplo a las madres que se quedan en casa tras </w:t>
      </w:r>
      <w:r w:rsidRPr="001B2D22">
        <w:rPr>
          <w:rFonts w:ascii="Times New Roman" w:hAnsi="Times New Roman" w:cs="Times New Roman"/>
          <w:b/>
          <w:sz w:val="24"/>
          <w:szCs w:val="24"/>
          <w:lang w:val="es-ES"/>
        </w:rPr>
        <w:t>dar a luz</w:t>
      </w:r>
      <w:r w:rsidRPr="001B2D22">
        <w:rPr>
          <w:rFonts w:ascii="Times New Roman" w:hAnsi="Times New Roman" w:cs="Times New Roman"/>
          <w:b/>
          <w:sz w:val="24"/>
          <w:szCs w:val="24"/>
          <w:vertAlign w:val="superscript"/>
          <w:lang w:val="es-ES"/>
        </w:rPr>
        <w:t>3</w:t>
      </w:r>
      <w:r w:rsidRPr="006E44D2">
        <w:rPr>
          <w:rFonts w:ascii="Times New Roman" w:hAnsi="Times New Roman" w:cs="Times New Roman"/>
          <w:sz w:val="24"/>
          <w:szCs w:val="24"/>
          <w:lang w:val="es-ES"/>
        </w:rPr>
        <w:t xml:space="preserve"> (frente a los varones) “especialmente en países con amplias brechas salariales4 y con una oferta de servicios limitada para el cuidado de los niños”.</w:t>
      </w:r>
    </w:p>
    <w:p w:rsidR="006E44D2" w:rsidRPr="00F27FFC" w:rsidRDefault="006E44D2" w:rsidP="00F27FFC">
      <w:pPr>
        <w:spacing w:line="240" w:lineRule="auto"/>
        <w:rPr>
          <w:rFonts w:ascii="Times New Roman" w:hAnsi="Times New Roman" w:cs="Times New Roman"/>
          <w:i/>
          <w:sz w:val="24"/>
          <w:szCs w:val="24"/>
        </w:rPr>
      </w:pPr>
      <w:r w:rsidRPr="00F27FFC">
        <w:rPr>
          <w:rFonts w:ascii="Times New Roman" w:hAnsi="Times New Roman" w:cs="Times New Roman"/>
          <w:i/>
          <w:sz w:val="24"/>
          <w:szCs w:val="24"/>
          <w:vertAlign w:val="superscript"/>
        </w:rPr>
        <w:t>1</w:t>
      </w:r>
      <w:r w:rsidRPr="00F27FFC">
        <w:rPr>
          <w:rFonts w:ascii="Times New Roman" w:hAnsi="Times New Roman" w:cs="Times New Roman"/>
          <w:i/>
          <w:sz w:val="24"/>
          <w:szCs w:val="24"/>
        </w:rPr>
        <w:t xml:space="preserve"> </w:t>
      </w:r>
      <w:proofErr w:type="spellStart"/>
      <w:r w:rsidRPr="00F27FFC">
        <w:rPr>
          <w:rFonts w:ascii="Times New Roman" w:hAnsi="Times New Roman" w:cs="Times New Roman"/>
          <w:i/>
          <w:sz w:val="24"/>
          <w:szCs w:val="24"/>
        </w:rPr>
        <w:t>engrosar</w:t>
      </w:r>
      <w:proofErr w:type="spellEnd"/>
      <w:r w:rsidRPr="00F27FFC">
        <w:rPr>
          <w:rFonts w:ascii="Times New Roman" w:hAnsi="Times New Roman" w:cs="Times New Roman"/>
          <w:i/>
          <w:sz w:val="24"/>
          <w:szCs w:val="24"/>
        </w:rPr>
        <w:t xml:space="preserve"> : grossir </w:t>
      </w:r>
    </w:p>
    <w:p w:rsidR="006E44D2" w:rsidRPr="00F27FFC" w:rsidRDefault="006E44D2" w:rsidP="00F27FFC">
      <w:pPr>
        <w:spacing w:line="240" w:lineRule="auto"/>
        <w:rPr>
          <w:rFonts w:ascii="Times New Roman" w:hAnsi="Times New Roman" w:cs="Times New Roman"/>
          <w:i/>
          <w:sz w:val="24"/>
          <w:szCs w:val="24"/>
        </w:rPr>
      </w:pPr>
      <w:r w:rsidRPr="00F27FFC">
        <w:rPr>
          <w:rFonts w:ascii="Times New Roman" w:hAnsi="Times New Roman" w:cs="Times New Roman"/>
          <w:i/>
          <w:sz w:val="24"/>
          <w:szCs w:val="24"/>
          <w:vertAlign w:val="superscript"/>
        </w:rPr>
        <w:t xml:space="preserve">2 </w:t>
      </w:r>
      <w:proofErr w:type="gramStart"/>
      <w:r w:rsidRPr="00F27FFC">
        <w:rPr>
          <w:rFonts w:ascii="Times New Roman" w:hAnsi="Times New Roman" w:cs="Times New Roman"/>
          <w:i/>
          <w:sz w:val="24"/>
          <w:szCs w:val="24"/>
        </w:rPr>
        <w:t xml:space="preserve">la </w:t>
      </w:r>
      <w:proofErr w:type="spellStart"/>
      <w:r w:rsidRPr="00F27FFC">
        <w:rPr>
          <w:rFonts w:ascii="Times New Roman" w:hAnsi="Times New Roman" w:cs="Times New Roman"/>
          <w:i/>
          <w:sz w:val="24"/>
          <w:szCs w:val="24"/>
        </w:rPr>
        <w:t>escasez</w:t>
      </w:r>
      <w:proofErr w:type="spellEnd"/>
      <w:proofErr w:type="gramEnd"/>
      <w:r w:rsidRPr="00F27FFC">
        <w:rPr>
          <w:rFonts w:ascii="Times New Roman" w:hAnsi="Times New Roman" w:cs="Times New Roman"/>
          <w:i/>
          <w:sz w:val="24"/>
          <w:szCs w:val="24"/>
        </w:rPr>
        <w:t>: le manque</w:t>
      </w:r>
      <w:bookmarkStart w:id="0" w:name="_GoBack"/>
      <w:bookmarkEnd w:id="0"/>
    </w:p>
    <w:p w:rsidR="006E44D2" w:rsidRPr="00F27FFC" w:rsidRDefault="006E44D2" w:rsidP="00F27FFC">
      <w:pPr>
        <w:spacing w:line="240" w:lineRule="auto"/>
        <w:rPr>
          <w:rFonts w:ascii="Times New Roman" w:hAnsi="Times New Roman" w:cs="Times New Roman"/>
          <w:i/>
          <w:sz w:val="24"/>
          <w:szCs w:val="24"/>
        </w:rPr>
      </w:pPr>
      <w:r w:rsidRPr="00F27FFC">
        <w:rPr>
          <w:rFonts w:ascii="Times New Roman" w:hAnsi="Times New Roman" w:cs="Times New Roman"/>
          <w:i/>
          <w:sz w:val="24"/>
          <w:szCs w:val="24"/>
          <w:vertAlign w:val="superscript"/>
        </w:rPr>
        <w:t xml:space="preserve">3 </w:t>
      </w:r>
      <w:r w:rsidRPr="00F27FFC">
        <w:rPr>
          <w:rFonts w:ascii="Times New Roman" w:hAnsi="Times New Roman" w:cs="Times New Roman"/>
          <w:i/>
          <w:sz w:val="24"/>
          <w:szCs w:val="24"/>
        </w:rPr>
        <w:t xml:space="preserve">dar </w:t>
      </w:r>
      <w:proofErr w:type="gramStart"/>
      <w:r w:rsidRPr="00F27FFC">
        <w:rPr>
          <w:rFonts w:ascii="Times New Roman" w:hAnsi="Times New Roman" w:cs="Times New Roman"/>
          <w:i/>
          <w:sz w:val="24"/>
          <w:szCs w:val="24"/>
        </w:rPr>
        <w:t>a</w:t>
      </w:r>
      <w:proofErr w:type="gramEnd"/>
      <w:r w:rsidRPr="00F27FFC">
        <w:rPr>
          <w:rFonts w:ascii="Times New Roman" w:hAnsi="Times New Roman" w:cs="Times New Roman"/>
          <w:i/>
          <w:sz w:val="24"/>
          <w:szCs w:val="24"/>
        </w:rPr>
        <w:t xml:space="preserve"> </w:t>
      </w:r>
      <w:proofErr w:type="spellStart"/>
      <w:r w:rsidRPr="00F27FFC">
        <w:rPr>
          <w:rFonts w:ascii="Times New Roman" w:hAnsi="Times New Roman" w:cs="Times New Roman"/>
          <w:i/>
          <w:sz w:val="24"/>
          <w:szCs w:val="24"/>
        </w:rPr>
        <w:t>luz</w:t>
      </w:r>
      <w:proofErr w:type="spellEnd"/>
      <w:r w:rsidRPr="00F27FFC">
        <w:rPr>
          <w:rFonts w:ascii="Times New Roman" w:hAnsi="Times New Roman" w:cs="Times New Roman"/>
          <w:i/>
          <w:sz w:val="24"/>
          <w:szCs w:val="24"/>
        </w:rPr>
        <w:t xml:space="preserve">: accoucher </w:t>
      </w:r>
    </w:p>
    <w:p w:rsidR="006E44D2" w:rsidRPr="00F27FFC" w:rsidRDefault="006E44D2" w:rsidP="00F27FFC">
      <w:pPr>
        <w:suppressLineNumbers/>
        <w:spacing w:line="240" w:lineRule="auto"/>
        <w:rPr>
          <w:rFonts w:ascii="Times New Roman" w:hAnsi="Times New Roman" w:cs="Times New Roman"/>
          <w:i/>
          <w:sz w:val="24"/>
          <w:szCs w:val="24"/>
        </w:rPr>
      </w:pPr>
      <w:r w:rsidRPr="00F27FFC">
        <w:rPr>
          <w:rFonts w:ascii="Times New Roman" w:hAnsi="Times New Roman" w:cs="Times New Roman"/>
          <w:i/>
          <w:sz w:val="24"/>
          <w:szCs w:val="24"/>
        </w:rPr>
        <w:t xml:space="preserve">4 </w:t>
      </w:r>
      <w:proofErr w:type="spellStart"/>
      <w:r w:rsidRPr="00F27FFC">
        <w:rPr>
          <w:rFonts w:ascii="Times New Roman" w:hAnsi="Times New Roman" w:cs="Times New Roman"/>
          <w:i/>
          <w:sz w:val="24"/>
          <w:szCs w:val="24"/>
        </w:rPr>
        <w:t>brechas</w:t>
      </w:r>
      <w:proofErr w:type="spellEnd"/>
      <w:r w:rsidRPr="00F27FFC">
        <w:rPr>
          <w:rFonts w:ascii="Times New Roman" w:hAnsi="Times New Roman" w:cs="Times New Roman"/>
          <w:i/>
          <w:sz w:val="24"/>
          <w:szCs w:val="24"/>
        </w:rPr>
        <w:t xml:space="preserve"> salariales: les </w:t>
      </w:r>
      <w:proofErr w:type="spellStart"/>
      <w:r w:rsidRPr="00F27FFC">
        <w:rPr>
          <w:rFonts w:ascii="Times New Roman" w:hAnsi="Times New Roman" w:cs="Times New Roman"/>
          <w:i/>
          <w:sz w:val="24"/>
          <w:szCs w:val="24"/>
        </w:rPr>
        <w:t>éccarts</w:t>
      </w:r>
      <w:proofErr w:type="spellEnd"/>
      <w:r w:rsidRPr="00F27FFC">
        <w:rPr>
          <w:rFonts w:ascii="Times New Roman" w:hAnsi="Times New Roman" w:cs="Times New Roman"/>
          <w:i/>
          <w:sz w:val="24"/>
          <w:szCs w:val="24"/>
        </w:rPr>
        <w:t xml:space="preserve"> de salaire</w:t>
      </w:r>
    </w:p>
    <w:p w:rsidR="007B7A11" w:rsidRPr="00C41118" w:rsidRDefault="006E44D2" w:rsidP="00F27FFC">
      <w:pPr>
        <w:suppressLineNumbers/>
        <w:spacing w:line="240" w:lineRule="auto"/>
        <w:rPr>
          <w:rFonts w:ascii="Times New Roman" w:hAnsi="Times New Roman" w:cs="Times New Roman"/>
          <w:b/>
          <w:sz w:val="24"/>
          <w:szCs w:val="24"/>
          <w:lang w:val="es-ES"/>
        </w:rPr>
      </w:pPr>
      <w:r w:rsidRPr="00C41118">
        <w:rPr>
          <w:rFonts w:ascii="Times New Roman" w:hAnsi="Times New Roman" w:cs="Times New Roman"/>
          <w:b/>
          <w:i/>
          <w:sz w:val="24"/>
          <w:szCs w:val="24"/>
          <w:lang w:val="es-ES"/>
        </w:rPr>
        <w:t>OCDE (Organización</w:t>
      </w:r>
      <w:r w:rsidRPr="00C41118">
        <w:rPr>
          <w:rFonts w:ascii="Times New Roman" w:hAnsi="Times New Roman" w:cs="Times New Roman"/>
          <w:b/>
          <w:sz w:val="24"/>
          <w:szCs w:val="24"/>
          <w:lang w:val="es-ES"/>
        </w:rPr>
        <w:t xml:space="preserve"> para la Cooperación y el Desarrollo Económico)</w:t>
      </w:r>
    </w:p>
    <w:sectPr w:rsidR="007B7A11" w:rsidRPr="00C41118" w:rsidSect="009C490E">
      <w:pgSz w:w="11906" w:h="16838"/>
      <w:pgMar w:top="851" w:right="1418" w:bottom="851"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11"/>
    <w:rsid w:val="001B2D22"/>
    <w:rsid w:val="002B6729"/>
    <w:rsid w:val="00332FDF"/>
    <w:rsid w:val="004606C8"/>
    <w:rsid w:val="00492756"/>
    <w:rsid w:val="004F626D"/>
    <w:rsid w:val="006225CD"/>
    <w:rsid w:val="006E44D2"/>
    <w:rsid w:val="00710410"/>
    <w:rsid w:val="007A6C8E"/>
    <w:rsid w:val="007B7A11"/>
    <w:rsid w:val="008A7C88"/>
    <w:rsid w:val="009201B4"/>
    <w:rsid w:val="009237D5"/>
    <w:rsid w:val="00950888"/>
    <w:rsid w:val="009C490E"/>
    <w:rsid w:val="009D6ED7"/>
    <w:rsid w:val="00AE1B4D"/>
    <w:rsid w:val="00C41118"/>
    <w:rsid w:val="00C7053E"/>
    <w:rsid w:val="00C76ADB"/>
    <w:rsid w:val="00CB0152"/>
    <w:rsid w:val="00CD5D94"/>
    <w:rsid w:val="00D716E1"/>
    <w:rsid w:val="00EA7987"/>
    <w:rsid w:val="00EE0577"/>
    <w:rsid w:val="00F27FFC"/>
    <w:rsid w:val="00F56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10410"/>
  </w:style>
  <w:style w:type="character" w:styleId="Lienhypertexte">
    <w:name w:val="Hyperlink"/>
    <w:basedOn w:val="Policepardfaut"/>
    <w:uiPriority w:val="99"/>
    <w:semiHidden/>
    <w:unhideWhenUsed/>
    <w:rsid w:val="00710410"/>
    <w:rPr>
      <w:strike w:val="0"/>
      <w:dstrike w:val="0"/>
      <w:color w:val="CE6030"/>
      <w:u w:val="none"/>
      <w:effect w:val="none"/>
    </w:rPr>
  </w:style>
  <w:style w:type="paragraph" w:styleId="NormalWeb">
    <w:name w:val="Normal (Web)"/>
    <w:basedOn w:val="Normal"/>
    <w:uiPriority w:val="99"/>
    <w:unhideWhenUsed/>
    <w:rsid w:val="00710410"/>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1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10410"/>
  </w:style>
  <w:style w:type="character" w:styleId="Lienhypertexte">
    <w:name w:val="Hyperlink"/>
    <w:basedOn w:val="Policepardfaut"/>
    <w:uiPriority w:val="99"/>
    <w:semiHidden/>
    <w:unhideWhenUsed/>
    <w:rsid w:val="00710410"/>
    <w:rPr>
      <w:strike w:val="0"/>
      <w:dstrike w:val="0"/>
      <w:color w:val="CE6030"/>
      <w:u w:val="none"/>
      <w:effect w:val="none"/>
    </w:rPr>
  </w:style>
  <w:style w:type="paragraph" w:styleId="NormalWeb">
    <w:name w:val="Normal (Web)"/>
    <w:basedOn w:val="Normal"/>
    <w:uiPriority w:val="99"/>
    <w:unhideWhenUsed/>
    <w:rsid w:val="00710410"/>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1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436">
      <w:bodyDiv w:val="1"/>
      <w:marLeft w:val="0"/>
      <w:marRight w:val="0"/>
      <w:marTop w:val="0"/>
      <w:marBottom w:val="0"/>
      <w:divBdr>
        <w:top w:val="none" w:sz="0" w:space="0" w:color="auto"/>
        <w:left w:val="none" w:sz="0" w:space="0" w:color="auto"/>
        <w:bottom w:val="none" w:sz="0" w:space="0" w:color="auto"/>
        <w:right w:val="none" w:sz="0" w:space="0" w:color="auto"/>
      </w:divBdr>
      <w:divsChild>
        <w:div w:id="106697843">
          <w:marLeft w:val="0"/>
          <w:marRight w:val="0"/>
          <w:marTop w:val="0"/>
          <w:marBottom w:val="0"/>
          <w:divBdr>
            <w:top w:val="none" w:sz="0" w:space="0" w:color="auto"/>
            <w:left w:val="none" w:sz="0" w:space="0" w:color="auto"/>
            <w:bottom w:val="none" w:sz="0" w:space="0" w:color="auto"/>
            <w:right w:val="none" w:sz="0" w:space="0" w:color="auto"/>
          </w:divBdr>
        </w:div>
      </w:divsChild>
    </w:div>
    <w:div w:id="1209297260">
      <w:bodyDiv w:val="1"/>
      <w:marLeft w:val="0"/>
      <w:marRight w:val="0"/>
      <w:marTop w:val="0"/>
      <w:marBottom w:val="0"/>
      <w:divBdr>
        <w:top w:val="none" w:sz="0" w:space="0" w:color="auto"/>
        <w:left w:val="none" w:sz="0" w:space="0" w:color="auto"/>
        <w:bottom w:val="none" w:sz="0" w:space="0" w:color="auto"/>
        <w:right w:val="none" w:sz="0" w:space="0" w:color="auto"/>
      </w:divBdr>
      <w:divsChild>
        <w:div w:id="151580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98B9-8BEF-4E0B-82B8-79A96F76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qqq</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Valentine</cp:lastModifiedBy>
  <cp:revision>3</cp:revision>
  <cp:lastPrinted>2015-03-06T19:37:00Z</cp:lastPrinted>
  <dcterms:created xsi:type="dcterms:W3CDTF">2015-03-07T13:51:00Z</dcterms:created>
  <dcterms:modified xsi:type="dcterms:W3CDTF">2015-03-07T13:53:00Z</dcterms:modified>
</cp:coreProperties>
</file>