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E6B7C" w:rsidTr="00C15AA7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0"/>
            </w:tblGrid>
            <w:tr w:rsidR="00CE6B7C">
              <w:tc>
                <w:tcPr>
                  <w:tcW w:w="9212" w:type="dxa"/>
                </w:tcPr>
                <w:p w:rsidR="00CE6B7C" w:rsidRPr="00603B38" w:rsidRDefault="00CE6B7C" w:rsidP="00603B38">
                  <w:pPr>
                    <w:pStyle w:val="Titre1"/>
                    <w:suppressLineNumbers/>
                    <w:jc w:val="center"/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s-ES"/>
                    </w:rPr>
                  </w:pPr>
                  <w:bookmarkStart w:id="0" w:name="_GoBack"/>
                  <w:bookmarkEnd w:id="0"/>
                  <w:r w:rsidRPr="00603B38"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s-ES"/>
                    </w:rPr>
                    <w:t>BTS MUC</w:t>
                  </w:r>
                  <w:r w:rsidR="00C15AA7" w:rsidRPr="00603B38"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s-ES"/>
                    </w:rPr>
                    <w:t xml:space="preserve"> ESPAGNOL SESSION</w:t>
                  </w:r>
                  <w:r w:rsidRPr="00603B38"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s-ES"/>
                    </w:rPr>
                    <w:t xml:space="preserve"> 2015</w:t>
                  </w:r>
                </w:p>
                <w:p w:rsidR="00CE6B7C" w:rsidRPr="00603B38" w:rsidRDefault="00CE6B7C" w:rsidP="00603B38">
                  <w:pPr>
                    <w:pStyle w:val="Titre1"/>
                    <w:suppressLineNumbers/>
                    <w:jc w:val="center"/>
                    <w:rPr>
                      <w:rStyle w:val="notranslate"/>
                      <w:rFonts w:ascii="Times New Roman" w:hAnsi="Times New Roman" w:cs="Times New Roman"/>
                      <w:sz w:val="28"/>
                      <w:lang w:val="es-ES"/>
                    </w:rPr>
                  </w:pPr>
                  <w:r w:rsidRPr="00603B38">
                    <w:rPr>
                      <w:rStyle w:val="notranslate"/>
                      <w:rFonts w:ascii="Times New Roman" w:hAnsi="Times New Roman" w:cs="Times New Roman"/>
                      <w:sz w:val="28"/>
                      <w:lang w:val="es-ES"/>
                    </w:rPr>
                    <w:t>Cómo ahorrar renovando electrodomésticos</w:t>
                  </w:r>
                </w:p>
                <w:p w:rsidR="00C15AA7" w:rsidRPr="00603B38" w:rsidRDefault="00C15AA7" w:rsidP="00603B38">
                  <w:pPr>
                    <w:pStyle w:val="Titre1"/>
                    <w:suppressLineNumbers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lang w:val="en-US"/>
                    </w:rPr>
                  </w:pPr>
                  <w:r w:rsidRPr="00603B38"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n-US"/>
                    </w:rPr>
                    <w:t>T</w:t>
                  </w:r>
                  <w:r w:rsidR="00603B38"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n-US"/>
                    </w:rPr>
                    <w:t xml:space="preserve">EXTE </w:t>
                  </w:r>
                  <w:r w:rsidRPr="00603B38">
                    <w:rPr>
                      <w:rStyle w:val="notranslate"/>
                      <w:rFonts w:ascii="Times New Roman" w:hAnsi="Times New Roman" w:cs="Times New Roman"/>
                      <w:b w:val="0"/>
                      <w:sz w:val="28"/>
                      <w:lang w:val="en-US"/>
                    </w:rPr>
                    <w:t>12</w:t>
                  </w:r>
                </w:p>
              </w:tc>
            </w:tr>
          </w:tbl>
          <w:p w:rsidR="00CE6B7C" w:rsidRDefault="00CE6B7C" w:rsidP="00603B38">
            <w:pPr>
              <w:suppressLineNumbers/>
              <w:rPr>
                <w:lang w:val="en-US"/>
              </w:rPr>
            </w:pPr>
          </w:p>
        </w:tc>
      </w:tr>
    </w:tbl>
    <w:p w:rsidR="00C15AA7" w:rsidRDefault="00C15AA7" w:rsidP="00603B38">
      <w:pPr>
        <w:pStyle w:val="fecha"/>
        <w:suppressLineNumbers/>
        <w:spacing w:before="0" w:beforeAutospacing="0" w:after="0" w:afterAutospacing="0"/>
        <w:rPr>
          <w:rStyle w:val="notranslate"/>
          <w:rFonts w:ascii="Times New Roman" w:hAnsi="Times New Roman" w:cs="Times New Roman"/>
          <w:b/>
          <w:bCs/>
        </w:rPr>
      </w:pPr>
    </w:p>
    <w:p w:rsidR="00CE6B7C" w:rsidRPr="00603B38" w:rsidRDefault="00CE6B7C" w:rsidP="00603B38">
      <w:pPr>
        <w:pStyle w:val="fecha"/>
        <w:suppressLineNumbers/>
        <w:spacing w:before="0" w:beforeAutospacing="0" w:after="0" w:afterAutospacing="0"/>
        <w:rPr>
          <w:rFonts w:ascii="Times New Roman" w:hAnsi="Times New Roman" w:cs="Times New Roman"/>
          <w:bCs/>
          <w:i/>
          <w:lang w:val="en-US"/>
        </w:rPr>
      </w:pPr>
      <w:r w:rsidRPr="00603B38">
        <w:rPr>
          <w:rStyle w:val="notranslate"/>
          <w:rFonts w:ascii="Times New Roman" w:hAnsi="Times New Roman" w:cs="Times New Roman"/>
          <w:bCs/>
          <w:i/>
          <w:lang w:val="es-ES_tradnl"/>
        </w:rPr>
        <w:t>Cinco Días, 25/02/2015</w:t>
      </w:r>
      <w:r w:rsidRPr="00603B38">
        <w:rPr>
          <w:rFonts w:ascii="Times New Roman" w:hAnsi="Times New Roman" w:cs="Times New Roman"/>
          <w:bCs/>
          <w:i/>
          <w:lang w:val="en-US"/>
        </w:rPr>
        <w:t xml:space="preserve"> </w:t>
      </w:r>
    </w:p>
    <w:p w:rsidR="00CE6B7C" w:rsidRDefault="008916AE" w:rsidP="00603B38">
      <w:pPr>
        <w:suppressLineNumbers/>
        <w:rPr>
          <w:b/>
          <w:bCs/>
          <w:lang w:val="en-US"/>
        </w:rPr>
      </w:pPr>
      <w:hyperlink r:id="rId8" w:tooltip="Mostrar más" w:history="1"/>
    </w:p>
    <w:p w:rsidR="00CE6B7C" w:rsidRDefault="00CE6B7C" w:rsidP="00603B38">
      <w:pPr>
        <w:suppressLineNumbers/>
        <w:rPr>
          <w:lang w:val="en-US"/>
        </w:rPr>
      </w:pPr>
    </w:p>
    <w:p w:rsidR="00CE6B7C" w:rsidRPr="00603B38" w:rsidRDefault="00CE6B7C">
      <w:pPr>
        <w:pStyle w:val="NormalWeb"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"/>
        </w:rPr>
      </w:pP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La renovación del parque de electrodomésticos en España supondría 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>un ahorro</w:t>
      </w:r>
      <w:r w:rsidR="00F71918" w:rsidRPr="00F71918">
        <w:rPr>
          <w:rStyle w:val="notranslate"/>
          <w:rFonts w:ascii="Times New Roman" w:hAnsi="Times New Roman" w:cs="Times New Roman"/>
          <w:b/>
          <w:bCs/>
          <w:vertAlign w:val="superscript"/>
          <w:lang w:val="es-ES_tradnl"/>
        </w:rPr>
        <w:t>1</w:t>
      </w: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 de más de 175 millones de euros.</w:t>
      </w:r>
      <w:r w:rsidRPr="00F71918">
        <w:rPr>
          <w:rFonts w:ascii="Times New Roman" w:hAnsi="Times New Roman" w:cs="Times New Roman"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Esta es la cifra que se obtendría si se sustituyeran los aparatos de más de diez años por otros más 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>eficientes</w:t>
      </w:r>
      <w:r w:rsidR="00F71918" w:rsidRPr="00F71918">
        <w:rPr>
          <w:rStyle w:val="notranslate"/>
          <w:rFonts w:ascii="Times New Roman" w:hAnsi="Times New Roman" w:cs="Times New Roman"/>
          <w:b/>
          <w:bCs/>
          <w:vertAlign w:val="superscript"/>
          <w:lang w:val="es-ES_tradnl"/>
        </w:rPr>
        <w:t>2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>energéticamente.</w:t>
      </w:r>
      <w:r w:rsidRPr="00F71918">
        <w:rPr>
          <w:rFonts w:ascii="Times New Roman" w:hAnsi="Times New Roman" w:cs="Times New Roman"/>
          <w:lang w:val="es-ES_tradnl"/>
        </w:rPr>
        <w:t xml:space="preserve"> </w:t>
      </w:r>
      <w:r w:rsidRPr="00603B38">
        <w:rPr>
          <w:rStyle w:val="notranslate"/>
          <w:rFonts w:ascii="Times New Roman" w:hAnsi="Times New Roman" w:cs="Times New Roman"/>
          <w:lang w:val="es-ES"/>
        </w:rPr>
        <w:t>Así lo explicaron en la presentación del Plan de renovación e incentivación de electrodomésticos eficientes (PRIE) la Asociación Nacional de Grandes Empresas de Distribución (</w:t>
      </w:r>
      <w:proofErr w:type="spellStart"/>
      <w:r w:rsidRPr="00603B38">
        <w:rPr>
          <w:rStyle w:val="notranslate"/>
          <w:rFonts w:ascii="Times New Roman" w:hAnsi="Times New Roman" w:cs="Times New Roman"/>
          <w:lang w:val="es-ES"/>
        </w:rPr>
        <w:t>Anged</w:t>
      </w:r>
      <w:proofErr w:type="spellEnd"/>
      <w:r w:rsidRPr="00603B38">
        <w:rPr>
          <w:rStyle w:val="notranslate"/>
          <w:rFonts w:ascii="Times New Roman" w:hAnsi="Times New Roman" w:cs="Times New Roman"/>
          <w:lang w:val="es-ES"/>
        </w:rPr>
        <w:t>), la Federación Española de Comerciantes de Electrodomésticos (FECE) y la Asociación Nacional de Fabricantes e Importadores de Electrodomésticos (</w:t>
      </w:r>
      <w:proofErr w:type="spellStart"/>
      <w:r w:rsidRPr="00603B38">
        <w:rPr>
          <w:rStyle w:val="notranslate"/>
          <w:rFonts w:ascii="Times New Roman" w:hAnsi="Times New Roman" w:cs="Times New Roman"/>
          <w:lang w:val="es-ES"/>
        </w:rPr>
        <w:t>Anfel</w:t>
      </w:r>
      <w:proofErr w:type="spellEnd"/>
      <w:r w:rsidRPr="00603B38">
        <w:rPr>
          <w:rStyle w:val="notranslate"/>
          <w:rFonts w:ascii="Times New Roman" w:hAnsi="Times New Roman" w:cs="Times New Roman"/>
          <w:lang w:val="es-ES"/>
        </w:rPr>
        <w:t>).</w:t>
      </w:r>
      <w:r w:rsidRPr="00603B38">
        <w:rPr>
          <w:rFonts w:ascii="Times New Roman" w:hAnsi="Times New Roman" w:cs="Times New Roman"/>
          <w:lang w:val="es-ES"/>
        </w:rPr>
        <w:t xml:space="preserve"> </w:t>
      </w:r>
    </w:p>
    <w:p w:rsidR="00CE6B7C" w:rsidRPr="00603B38" w:rsidRDefault="00CE6B7C" w:rsidP="00603B38">
      <w:pPr>
        <w:pStyle w:val="NormalWeb"/>
        <w:suppressLineNumbers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"/>
        </w:rPr>
      </w:pPr>
    </w:p>
    <w:p w:rsidR="00CE6B7C" w:rsidRPr="00F71918" w:rsidRDefault="00CE6B7C">
      <w:pPr>
        <w:pStyle w:val="NormalWeb"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_tradnl"/>
        </w:rPr>
      </w:pP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Estas asociaciones solicitaron a “la administración pública” 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>la puesta en marcha de</w:t>
      </w: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>incentivos</w:t>
      </w:r>
      <w:r w:rsidR="00F71918" w:rsidRPr="00F71918">
        <w:rPr>
          <w:rStyle w:val="notranslate"/>
          <w:rFonts w:ascii="Times New Roman" w:hAnsi="Times New Roman" w:cs="Times New Roman"/>
          <w:b/>
          <w:bCs/>
          <w:vertAlign w:val="superscript"/>
          <w:lang w:val="es-ES_tradnl"/>
        </w:rPr>
        <w:t>3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>para que los consumidores renueven sus electrodomésticos, tras sufrir el sector una caída del 50% en sus ventas en el periodo 2006-2014.</w:t>
      </w:r>
      <w:r w:rsidRPr="00F71918">
        <w:rPr>
          <w:rFonts w:ascii="Times New Roman" w:hAnsi="Times New Roman" w:cs="Times New Roman"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Según ellos, este 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>retroceso</w:t>
      </w:r>
      <w:r w:rsidR="00F71918">
        <w:rPr>
          <w:rStyle w:val="notranslate"/>
          <w:rFonts w:ascii="Times New Roman" w:hAnsi="Times New Roman" w:cs="Times New Roman"/>
          <w:b/>
          <w:bCs/>
          <w:vertAlign w:val="superscript"/>
          <w:lang w:val="es-ES_tradnl"/>
        </w:rPr>
        <w:t>4</w:t>
      </w:r>
      <w:r w:rsidRPr="00F71918">
        <w:rPr>
          <w:rStyle w:val="notranslate"/>
          <w:rFonts w:ascii="Times New Roman" w:hAnsi="Times New Roman" w:cs="Times New Roman"/>
          <w:b/>
          <w:bCs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>ha causado el cierre del 42% de las industrias, así como de tiendas de proximidad (de 11.100 a 7.800).</w:t>
      </w:r>
      <w:r w:rsidRPr="00F71918">
        <w:rPr>
          <w:rFonts w:ascii="Times New Roman" w:hAnsi="Times New Roman" w:cs="Times New Roman"/>
          <w:lang w:val="es-ES_tradnl"/>
        </w:rPr>
        <w:t xml:space="preserve"> </w:t>
      </w:r>
    </w:p>
    <w:p w:rsidR="00CE6B7C" w:rsidRPr="00F71918" w:rsidRDefault="00CE6B7C" w:rsidP="00603B38">
      <w:pPr>
        <w:pStyle w:val="NormalWeb"/>
        <w:suppressLineNumbers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_tradnl"/>
        </w:rPr>
      </w:pPr>
    </w:p>
    <w:p w:rsidR="00CE6B7C" w:rsidRPr="00603B38" w:rsidRDefault="00CE6B7C">
      <w:pPr>
        <w:pStyle w:val="NormalWeb"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"/>
        </w:rPr>
      </w:pPr>
      <w:r w:rsidRPr="00603B38">
        <w:rPr>
          <w:rStyle w:val="notranslate"/>
          <w:rFonts w:ascii="Times New Roman" w:hAnsi="Times New Roman" w:cs="Times New Roman"/>
          <w:lang w:val="es-ES"/>
        </w:rPr>
        <w:t xml:space="preserve">El presidente de FECE, José María </w:t>
      </w:r>
      <w:proofErr w:type="spellStart"/>
      <w:r w:rsidRPr="00603B38">
        <w:rPr>
          <w:rStyle w:val="notranslate"/>
          <w:rFonts w:ascii="Times New Roman" w:hAnsi="Times New Roman" w:cs="Times New Roman"/>
          <w:lang w:val="es-ES"/>
        </w:rPr>
        <w:t>Verdaguer</w:t>
      </w:r>
      <w:proofErr w:type="spellEnd"/>
      <w:r w:rsidRPr="00603B38">
        <w:rPr>
          <w:rStyle w:val="notranslate"/>
          <w:rFonts w:ascii="Times New Roman" w:hAnsi="Times New Roman" w:cs="Times New Roman"/>
          <w:lang w:val="es-ES"/>
        </w:rPr>
        <w:t>, señaló que, para este “potente sector industrial”, una iniciativa de este tipo debe ser “prioritaria”.</w:t>
      </w:r>
      <w:r w:rsidRPr="00603B38">
        <w:rPr>
          <w:rFonts w:ascii="Times New Roman" w:hAnsi="Times New Roman" w:cs="Times New Roman"/>
          <w:lang w:val="es-ES"/>
        </w:rPr>
        <w:t xml:space="preserve"> </w:t>
      </w:r>
      <w:r w:rsidRPr="00603B38">
        <w:rPr>
          <w:rStyle w:val="notranslate"/>
          <w:rFonts w:ascii="Times New Roman" w:hAnsi="Times New Roman" w:cs="Times New Roman"/>
          <w:lang w:val="es-ES"/>
        </w:rPr>
        <w:t>Actualmente, se encuentran en España nueve plantas de fabricación de productos eficientes, que dan empleo a 71.700 profesionales y facturan anualmente 4.500 millones de euros.</w:t>
      </w:r>
      <w:r w:rsidRPr="00603B38">
        <w:rPr>
          <w:rFonts w:ascii="Times New Roman" w:hAnsi="Times New Roman" w:cs="Times New Roman"/>
          <w:lang w:val="es-ES"/>
        </w:rPr>
        <w:t xml:space="preserve"> </w:t>
      </w:r>
    </w:p>
    <w:p w:rsidR="00CE6B7C" w:rsidRPr="00603B38" w:rsidRDefault="00CE6B7C" w:rsidP="00603B38">
      <w:pPr>
        <w:pStyle w:val="NormalWeb"/>
        <w:suppressLineNumbers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"/>
        </w:rPr>
      </w:pPr>
    </w:p>
    <w:p w:rsidR="00CE6B7C" w:rsidRPr="0045576D" w:rsidRDefault="00CE6B7C">
      <w:pPr>
        <w:pStyle w:val="NormalWeb"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"/>
        </w:rPr>
      </w:pPr>
      <w:r w:rsidRPr="0045576D">
        <w:rPr>
          <w:rStyle w:val="notranslate"/>
          <w:rFonts w:ascii="Times New Roman" w:hAnsi="Times New Roman" w:cs="Times New Roman"/>
          <w:lang w:val="es-ES"/>
        </w:rPr>
        <w:t xml:space="preserve">El director general de </w:t>
      </w:r>
      <w:proofErr w:type="spellStart"/>
      <w:r w:rsidRPr="0045576D">
        <w:rPr>
          <w:rStyle w:val="notranslate"/>
          <w:rFonts w:ascii="Times New Roman" w:hAnsi="Times New Roman" w:cs="Times New Roman"/>
          <w:lang w:val="es-ES"/>
        </w:rPr>
        <w:t>Anfel</w:t>
      </w:r>
      <w:proofErr w:type="spellEnd"/>
      <w:r w:rsidRPr="0045576D">
        <w:rPr>
          <w:rStyle w:val="notranslate"/>
          <w:rFonts w:ascii="Times New Roman" w:hAnsi="Times New Roman" w:cs="Times New Roman"/>
          <w:lang w:val="es-ES"/>
        </w:rPr>
        <w:t xml:space="preserve">, Alberto Zapatero, explicó que los incentivos deberían consistir en 120 euros por un frigorífico o un congelador o en 80 por lavadoras, </w:t>
      </w:r>
      <w:r w:rsidRPr="0045576D">
        <w:rPr>
          <w:rStyle w:val="notranslate"/>
          <w:rFonts w:ascii="Times New Roman" w:hAnsi="Times New Roman" w:cs="Times New Roman"/>
          <w:b/>
          <w:bCs/>
          <w:lang w:val="es-ES"/>
        </w:rPr>
        <w:t>hornos</w:t>
      </w:r>
      <w:r w:rsidR="00F71918">
        <w:rPr>
          <w:rStyle w:val="notranslate"/>
          <w:rFonts w:ascii="Times New Roman" w:hAnsi="Times New Roman" w:cs="Times New Roman"/>
          <w:b/>
          <w:bCs/>
          <w:vertAlign w:val="superscript"/>
          <w:lang w:val="es-ES"/>
        </w:rPr>
        <w:t>5</w:t>
      </w:r>
      <w:r w:rsidRPr="0045576D">
        <w:rPr>
          <w:rStyle w:val="notranslate"/>
          <w:rFonts w:ascii="Times New Roman" w:hAnsi="Times New Roman" w:cs="Times New Roman"/>
          <w:lang w:val="es-ES"/>
        </w:rPr>
        <w:t xml:space="preserve"> o </w:t>
      </w:r>
      <w:proofErr w:type="spellStart"/>
      <w:r w:rsidRPr="0045576D">
        <w:rPr>
          <w:rStyle w:val="notranslate"/>
          <w:rFonts w:ascii="Times New Roman" w:hAnsi="Times New Roman" w:cs="Times New Roman"/>
          <w:lang w:val="es-ES"/>
        </w:rPr>
        <w:t>vitrocerámicas</w:t>
      </w:r>
      <w:proofErr w:type="spellEnd"/>
      <w:r w:rsidRPr="0045576D">
        <w:rPr>
          <w:rStyle w:val="notranslate"/>
          <w:rFonts w:ascii="Times New Roman" w:hAnsi="Times New Roman" w:cs="Times New Roman"/>
          <w:lang w:val="es-ES"/>
        </w:rPr>
        <w:t>.</w:t>
      </w:r>
      <w:r w:rsidRPr="0045576D">
        <w:rPr>
          <w:rFonts w:ascii="Times New Roman" w:hAnsi="Times New Roman" w:cs="Times New Roman"/>
          <w:lang w:val="es-ES"/>
        </w:rPr>
        <w:t xml:space="preserve"> </w:t>
      </w:r>
    </w:p>
    <w:p w:rsidR="00CE6B7C" w:rsidRPr="0045576D" w:rsidRDefault="00CE6B7C" w:rsidP="00603B38">
      <w:pPr>
        <w:pStyle w:val="NormalWeb"/>
        <w:suppressLineNumbers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"/>
        </w:rPr>
      </w:pPr>
    </w:p>
    <w:p w:rsidR="00CE6B7C" w:rsidRPr="00F71918" w:rsidRDefault="00CE6B7C">
      <w:pPr>
        <w:pStyle w:val="NormalWeb"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_tradnl"/>
        </w:rPr>
      </w:pPr>
      <w:r w:rsidRPr="00F71918">
        <w:rPr>
          <w:rStyle w:val="notranslate"/>
          <w:rFonts w:ascii="Times New Roman" w:hAnsi="Times New Roman" w:cs="Times New Roman"/>
          <w:lang w:val="es-ES_tradnl"/>
        </w:rPr>
        <w:t>Estas asoc</w:t>
      </w:r>
      <w:r w:rsidR="00F71918" w:rsidRPr="00F71918">
        <w:rPr>
          <w:rStyle w:val="notranslate"/>
          <w:rFonts w:ascii="Times New Roman" w:hAnsi="Times New Roman" w:cs="Times New Roman"/>
          <w:lang w:val="es-ES_tradnl"/>
        </w:rPr>
        <w:t xml:space="preserve">iaciones indicaron que el plan </w:t>
      </w:r>
      <w:proofErr w:type="spellStart"/>
      <w:r w:rsidR="00F71918" w:rsidRPr="00F71918">
        <w:rPr>
          <w:rStyle w:val="notranslate"/>
          <w:rFonts w:ascii="Times New Roman" w:hAnsi="Times New Roman" w:cs="Times New Roman"/>
          <w:b/>
          <w:i/>
          <w:lang w:val="es-ES_tradnl"/>
        </w:rPr>
        <w:t>R</w:t>
      </w:r>
      <w:r w:rsidRPr="00F71918">
        <w:rPr>
          <w:rStyle w:val="notranslate"/>
          <w:rFonts w:ascii="Times New Roman" w:hAnsi="Times New Roman" w:cs="Times New Roman"/>
          <w:b/>
          <w:i/>
          <w:lang w:val="es-ES_tradnl"/>
        </w:rPr>
        <w:t>enove</w:t>
      </w:r>
      <w:proofErr w:type="spellEnd"/>
      <w:r w:rsidRPr="00F71918">
        <w:rPr>
          <w:rStyle w:val="notranslate"/>
          <w:rFonts w:ascii="Times New Roman" w:hAnsi="Times New Roman" w:cs="Times New Roman"/>
          <w:b/>
          <w:i/>
          <w:lang w:val="es-ES_tradnl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>de electrodomésticos supone ventajas para la industria, para el consumidor, con un ahorro anual de entre 100 y 200 euros, y para la administración ya que, según ellos, tendría coste cero y supondría el cumplimiento de la legislación europea en materia de medio ambiente.</w:t>
      </w:r>
      <w:r w:rsidRPr="00F71918">
        <w:rPr>
          <w:rFonts w:ascii="Times New Roman" w:hAnsi="Times New Roman" w:cs="Times New Roman"/>
          <w:lang w:val="es-ES_tradnl"/>
        </w:rPr>
        <w:t xml:space="preserve"> </w:t>
      </w:r>
    </w:p>
    <w:p w:rsidR="00CE6B7C" w:rsidRPr="00F71918" w:rsidRDefault="00CE6B7C" w:rsidP="00603B38">
      <w:pPr>
        <w:pStyle w:val="NormalWeb"/>
        <w:suppressLineNumbers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_tradnl"/>
        </w:rPr>
      </w:pPr>
    </w:p>
    <w:p w:rsidR="00CE6B7C" w:rsidRPr="00F71918" w:rsidRDefault="00CE6B7C">
      <w:pPr>
        <w:pStyle w:val="NormalWeb"/>
        <w:spacing w:before="0" w:beforeAutospacing="0" w:after="0" w:afterAutospacing="0"/>
        <w:ind w:left="-180" w:right="-468"/>
        <w:jc w:val="both"/>
        <w:rPr>
          <w:rFonts w:ascii="Times New Roman" w:hAnsi="Times New Roman" w:cs="Times New Roman"/>
          <w:lang w:val="es-ES_tradnl"/>
        </w:rPr>
      </w:pPr>
      <w:r w:rsidRPr="00603B38">
        <w:rPr>
          <w:rStyle w:val="notranslate"/>
          <w:rFonts w:ascii="Times New Roman" w:hAnsi="Times New Roman" w:cs="Times New Roman"/>
          <w:lang w:val="es-ES"/>
        </w:rPr>
        <w:t xml:space="preserve">El director general de </w:t>
      </w:r>
      <w:proofErr w:type="spellStart"/>
      <w:r w:rsidRPr="00603B38">
        <w:rPr>
          <w:rStyle w:val="notranslate"/>
          <w:rFonts w:ascii="Times New Roman" w:hAnsi="Times New Roman" w:cs="Times New Roman"/>
          <w:lang w:val="es-ES"/>
        </w:rPr>
        <w:t>Anged</w:t>
      </w:r>
      <w:proofErr w:type="spellEnd"/>
      <w:r w:rsidRPr="00603B38">
        <w:rPr>
          <w:rStyle w:val="notranslate"/>
          <w:rFonts w:ascii="Times New Roman" w:hAnsi="Times New Roman" w:cs="Times New Roman"/>
          <w:lang w:val="es-ES"/>
        </w:rPr>
        <w:t>, Javier Milán-</w:t>
      </w:r>
      <w:proofErr w:type="spellStart"/>
      <w:r w:rsidRPr="00603B38">
        <w:rPr>
          <w:rStyle w:val="notranslate"/>
          <w:rFonts w:ascii="Times New Roman" w:hAnsi="Times New Roman" w:cs="Times New Roman"/>
          <w:lang w:val="es-ES"/>
        </w:rPr>
        <w:t>Astray</w:t>
      </w:r>
      <w:proofErr w:type="spellEnd"/>
      <w:r w:rsidRPr="00603B38">
        <w:rPr>
          <w:rStyle w:val="notranslate"/>
          <w:rFonts w:ascii="Times New Roman" w:hAnsi="Times New Roman" w:cs="Times New Roman"/>
          <w:lang w:val="es-ES"/>
        </w:rPr>
        <w:t>, apuntó que “el plan es razonable y no pedimos algo nuevo o diferente porque ya ha funcionado bien”.</w:t>
      </w:r>
      <w:r w:rsidRPr="00603B38">
        <w:rPr>
          <w:rFonts w:ascii="Times New Roman" w:hAnsi="Times New Roman" w:cs="Times New Roman"/>
          <w:lang w:val="es-ES"/>
        </w:rPr>
        <w:t xml:space="preserve"> </w:t>
      </w:r>
      <w:r w:rsidRPr="00F71918">
        <w:rPr>
          <w:rStyle w:val="notranslate"/>
          <w:rFonts w:ascii="Times New Roman" w:hAnsi="Times New Roman" w:cs="Times New Roman"/>
          <w:lang w:val="es-ES_tradnl"/>
        </w:rPr>
        <w:t>Y añad</w:t>
      </w:r>
      <w:r w:rsidR="00F71918" w:rsidRPr="00F71918">
        <w:rPr>
          <w:rStyle w:val="notranslate"/>
          <w:rFonts w:ascii="Times New Roman" w:hAnsi="Times New Roman" w:cs="Times New Roman"/>
          <w:lang w:val="es-ES_tradnl"/>
        </w:rPr>
        <w:t>ió que este es el momento adecuado</w:t>
      </w:r>
      <w:r w:rsidRPr="00F71918">
        <w:rPr>
          <w:rStyle w:val="notranslate"/>
          <w:rFonts w:ascii="Times New Roman" w:hAnsi="Times New Roman" w:cs="Times New Roman"/>
          <w:lang w:val="es-ES_tradnl"/>
        </w:rPr>
        <w:t xml:space="preserve"> para llevarlo a cabo, gracias a la mejora experimentada por la economía.</w:t>
      </w:r>
      <w:r w:rsidRPr="00F71918">
        <w:rPr>
          <w:rFonts w:ascii="Times New Roman" w:hAnsi="Times New Roman" w:cs="Times New Roman"/>
          <w:lang w:val="es-ES_tradnl"/>
        </w:rPr>
        <w:t xml:space="preserve"> </w:t>
      </w:r>
    </w:p>
    <w:p w:rsidR="00C15AA7" w:rsidRPr="00F71918" w:rsidRDefault="00C15AA7" w:rsidP="00603B38">
      <w:pPr>
        <w:pStyle w:val="autor"/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lang w:val="es-ES_tradnl"/>
        </w:rPr>
      </w:pPr>
    </w:p>
    <w:p w:rsidR="00C15AA7" w:rsidRPr="00F71918" w:rsidRDefault="00C15AA7" w:rsidP="00603B38">
      <w:pPr>
        <w:pStyle w:val="autor"/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lang w:val="es-ES_tradnl"/>
        </w:rPr>
      </w:pPr>
    </w:p>
    <w:p w:rsidR="00CE6B7C" w:rsidRPr="0045576D" w:rsidRDefault="00C15AA7" w:rsidP="00603B38">
      <w:pPr>
        <w:pStyle w:val="autor"/>
        <w:numPr>
          <w:ilvl w:val="0"/>
          <w:numId w:val="3"/>
        </w:numPr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b/>
          <w:bCs/>
          <w:lang w:val="es-ES"/>
        </w:rPr>
      </w:pPr>
      <w:r>
        <w:rPr>
          <w:rFonts w:ascii="Times New Roman" w:eastAsia="Times New Roman" w:hAnsi="Times New Roman" w:cs="Times New Roman"/>
          <w:b/>
          <w:bCs/>
          <w:lang w:val="es-ES"/>
        </w:rPr>
        <w:t>Ahorrar</w:t>
      </w:r>
      <w:r w:rsidR="00CE6B7C" w:rsidRPr="0045576D">
        <w:rPr>
          <w:rFonts w:ascii="Times New Roman" w:eastAsia="Times New Roman" w:hAnsi="Times New Roman" w:cs="Times New Roman"/>
          <w:b/>
          <w:bCs/>
          <w:lang w:val="es-ES"/>
        </w:rPr>
        <w:t>:</w:t>
      </w:r>
      <w:r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proofErr w:type="spellStart"/>
      <w:r w:rsidR="0045576D" w:rsidRPr="0045576D">
        <w:rPr>
          <w:rFonts w:ascii="Times New Roman" w:eastAsia="Times New Roman" w:hAnsi="Times New Roman" w:cs="Times New Roman"/>
          <w:lang w:val="es-ES"/>
        </w:rPr>
        <w:t>économiser</w:t>
      </w:r>
      <w:proofErr w:type="spellEnd"/>
    </w:p>
    <w:p w:rsidR="00CE6B7C" w:rsidRPr="0045576D" w:rsidRDefault="00CE6B7C" w:rsidP="00603B38">
      <w:pPr>
        <w:pStyle w:val="autor"/>
        <w:suppressLineNumbers/>
        <w:spacing w:before="0" w:beforeAutospacing="0" w:after="0" w:afterAutospacing="0"/>
        <w:ind w:left="-180" w:right="-468"/>
        <w:rPr>
          <w:rFonts w:ascii="Times New Roman" w:eastAsia="Times New Roman" w:hAnsi="Times New Roman" w:cs="Times New Roman"/>
          <w:b/>
          <w:bCs/>
          <w:lang w:val="es-ES"/>
        </w:rPr>
      </w:pPr>
    </w:p>
    <w:p w:rsidR="000E01DA" w:rsidRPr="000E01DA" w:rsidRDefault="000E01DA" w:rsidP="00603B38">
      <w:pPr>
        <w:pStyle w:val="autor"/>
        <w:numPr>
          <w:ilvl w:val="0"/>
          <w:numId w:val="3"/>
        </w:numPr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lang w:val="es-ES"/>
        </w:rPr>
        <w:t xml:space="preserve">Eficiente: </w:t>
      </w:r>
      <w:proofErr w:type="spellStart"/>
      <w:r w:rsidRPr="000E01DA">
        <w:rPr>
          <w:rFonts w:ascii="Times New Roman" w:eastAsia="Times New Roman" w:hAnsi="Times New Roman" w:cs="Times New Roman"/>
          <w:lang w:val="es-ES"/>
        </w:rPr>
        <w:t>efficace</w:t>
      </w:r>
      <w:proofErr w:type="spellEnd"/>
    </w:p>
    <w:p w:rsidR="000E01DA" w:rsidRDefault="000E01DA" w:rsidP="00603B38">
      <w:pPr>
        <w:pStyle w:val="autor"/>
        <w:suppressLineNumbers/>
        <w:spacing w:before="0" w:beforeAutospacing="0" w:after="0" w:afterAutospacing="0"/>
        <w:ind w:left="-180" w:right="-468"/>
        <w:rPr>
          <w:rFonts w:ascii="Times New Roman" w:eastAsia="Times New Roman" w:hAnsi="Times New Roman" w:cs="Times New Roman"/>
          <w:b/>
          <w:bCs/>
          <w:lang w:val="es-ES"/>
        </w:rPr>
      </w:pPr>
    </w:p>
    <w:p w:rsidR="00CE6B7C" w:rsidRPr="00C15AA7" w:rsidRDefault="0045576D" w:rsidP="00603B38">
      <w:pPr>
        <w:pStyle w:val="autor"/>
        <w:numPr>
          <w:ilvl w:val="0"/>
          <w:numId w:val="3"/>
        </w:numPr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s-ES"/>
        </w:rPr>
        <w:t xml:space="preserve">Poner en marcha </w:t>
      </w:r>
      <w:r w:rsidR="00C15AA7">
        <w:rPr>
          <w:rFonts w:ascii="Times New Roman" w:eastAsia="Times New Roman" w:hAnsi="Times New Roman" w:cs="Times New Roman"/>
          <w:b/>
          <w:bCs/>
          <w:lang w:val="es-ES"/>
        </w:rPr>
        <w:t>inc</w:t>
      </w:r>
      <w:r w:rsidR="00C15AA7" w:rsidRPr="0045576D">
        <w:rPr>
          <w:rFonts w:ascii="Times New Roman" w:eastAsia="Times New Roman" w:hAnsi="Times New Roman" w:cs="Times New Roman"/>
          <w:b/>
          <w:bCs/>
          <w:lang w:val="es-ES"/>
        </w:rPr>
        <w:t>entivos:</w:t>
      </w:r>
      <w:r w:rsidRPr="00C15AA7">
        <w:rPr>
          <w:rFonts w:ascii="Times New Roman" w:eastAsia="Times New Roman" w:hAnsi="Times New Roman" w:cs="Times New Roman"/>
          <w:b/>
          <w:bCs/>
        </w:rPr>
        <w:t xml:space="preserve"> </w:t>
      </w:r>
      <w:r w:rsidRPr="00C15AA7">
        <w:rPr>
          <w:rFonts w:ascii="Times New Roman" w:eastAsia="Times New Roman" w:hAnsi="Times New Roman" w:cs="Times New Roman"/>
        </w:rPr>
        <w:t>encourager</w:t>
      </w:r>
    </w:p>
    <w:p w:rsidR="00CE6B7C" w:rsidRPr="00C15AA7" w:rsidRDefault="00CE6B7C" w:rsidP="00603B38">
      <w:pPr>
        <w:pStyle w:val="autor"/>
        <w:suppressLineNumbers/>
        <w:spacing w:before="0" w:beforeAutospacing="0" w:after="0" w:afterAutospacing="0"/>
        <w:ind w:left="-180" w:right="-468"/>
        <w:rPr>
          <w:rFonts w:ascii="Times New Roman" w:eastAsia="Times New Roman" w:hAnsi="Times New Roman" w:cs="Times New Roman"/>
          <w:b/>
          <w:bCs/>
        </w:rPr>
      </w:pPr>
    </w:p>
    <w:p w:rsidR="00CE6B7C" w:rsidRPr="00C15AA7" w:rsidRDefault="00CE6B7C" w:rsidP="00603B38">
      <w:pPr>
        <w:pStyle w:val="autor"/>
        <w:numPr>
          <w:ilvl w:val="0"/>
          <w:numId w:val="3"/>
        </w:numPr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b/>
          <w:bCs/>
        </w:rPr>
      </w:pPr>
      <w:r w:rsidRPr="00C15AA7">
        <w:rPr>
          <w:rFonts w:ascii="Times New Roman" w:eastAsia="Times New Roman" w:hAnsi="Times New Roman" w:cs="Times New Roman"/>
          <w:b/>
          <w:bCs/>
        </w:rPr>
        <w:t xml:space="preserve">Un </w:t>
      </w:r>
      <w:proofErr w:type="spellStart"/>
      <w:r w:rsidRPr="00C15AA7">
        <w:rPr>
          <w:rFonts w:ascii="Times New Roman" w:eastAsia="Times New Roman" w:hAnsi="Times New Roman" w:cs="Times New Roman"/>
          <w:b/>
          <w:bCs/>
        </w:rPr>
        <w:t>retroceso</w:t>
      </w:r>
      <w:proofErr w:type="spellEnd"/>
      <w:r w:rsidRPr="00C15AA7">
        <w:rPr>
          <w:rFonts w:ascii="Times New Roman" w:eastAsia="Times New Roman" w:hAnsi="Times New Roman" w:cs="Times New Roman"/>
          <w:b/>
          <w:bCs/>
        </w:rPr>
        <w:t> :</w:t>
      </w:r>
      <w:r w:rsidR="0045576D" w:rsidRPr="00C15AA7">
        <w:rPr>
          <w:rFonts w:ascii="Times New Roman" w:eastAsia="Times New Roman" w:hAnsi="Times New Roman" w:cs="Times New Roman"/>
          <w:b/>
          <w:bCs/>
        </w:rPr>
        <w:t xml:space="preserve"> </w:t>
      </w:r>
      <w:r w:rsidR="00C15AA7">
        <w:rPr>
          <w:rFonts w:ascii="Times New Roman" w:eastAsia="Times New Roman" w:hAnsi="Times New Roman" w:cs="Times New Roman"/>
        </w:rPr>
        <w:t>un recul</w:t>
      </w:r>
    </w:p>
    <w:p w:rsidR="00CE6B7C" w:rsidRPr="00C15AA7" w:rsidRDefault="00CE6B7C" w:rsidP="00603B38">
      <w:pPr>
        <w:pStyle w:val="autor"/>
        <w:suppressLineNumbers/>
        <w:spacing w:before="0" w:beforeAutospacing="0" w:after="0" w:afterAutospacing="0"/>
        <w:ind w:left="-180" w:right="-468"/>
        <w:rPr>
          <w:rFonts w:ascii="Times New Roman" w:eastAsia="Times New Roman" w:hAnsi="Times New Roman" w:cs="Times New Roman"/>
          <w:b/>
          <w:bCs/>
        </w:rPr>
      </w:pPr>
    </w:p>
    <w:p w:rsidR="00CE6B7C" w:rsidRPr="00C15AA7" w:rsidRDefault="0045576D" w:rsidP="00603B38">
      <w:pPr>
        <w:pStyle w:val="autor"/>
        <w:numPr>
          <w:ilvl w:val="0"/>
          <w:numId w:val="3"/>
        </w:numPr>
        <w:suppressLineNumbers/>
        <w:spacing w:before="0" w:beforeAutospacing="0" w:after="0" w:afterAutospacing="0"/>
        <w:ind w:right="-468"/>
        <w:rPr>
          <w:rFonts w:ascii="Times New Roman" w:eastAsia="Times New Roman" w:hAnsi="Times New Roman" w:cs="Times New Roman"/>
          <w:b/>
          <w:bCs/>
        </w:rPr>
      </w:pPr>
      <w:proofErr w:type="spellStart"/>
      <w:r w:rsidRPr="00C15AA7">
        <w:rPr>
          <w:rFonts w:ascii="Times New Roman" w:eastAsia="Times New Roman" w:hAnsi="Times New Roman" w:cs="Times New Roman"/>
          <w:b/>
          <w:bCs/>
        </w:rPr>
        <w:t>H</w:t>
      </w:r>
      <w:r w:rsidR="00CE6B7C" w:rsidRPr="00C15AA7">
        <w:rPr>
          <w:rFonts w:ascii="Times New Roman" w:eastAsia="Times New Roman" w:hAnsi="Times New Roman" w:cs="Times New Roman"/>
          <w:b/>
          <w:bCs/>
        </w:rPr>
        <w:t>ornos</w:t>
      </w:r>
      <w:proofErr w:type="spellEnd"/>
      <w:r w:rsidRPr="00C15AA7">
        <w:rPr>
          <w:rFonts w:ascii="Times New Roman" w:eastAsia="Times New Roman" w:hAnsi="Times New Roman" w:cs="Times New Roman"/>
          <w:b/>
          <w:bCs/>
        </w:rPr>
        <w:t xml:space="preserve">: </w:t>
      </w:r>
      <w:r w:rsidRPr="00C15AA7">
        <w:rPr>
          <w:rFonts w:ascii="Times New Roman" w:eastAsia="Times New Roman" w:hAnsi="Times New Roman" w:cs="Times New Roman"/>
        </w:rPr>
        <w:t>des fours</w:t>
      </w:r>
    </w:p>
    <w:p w:rsidR="00CE6B7C" w:rsidRPr="00C15AA7" w:rsidRDefault="00CE6B7C" w:rsidP="00603B38">
      <w:pPr>
        <w:pStyle w:val="autor"/>
        <w:suppressLineNumbers/>
        <w:spacing w:before="0" w:beforeAutospacing="0" w:after="0" w:afterAutospacing="0"/>
        <w:ind w:left="-180" w:right="-468"/>
        <w:rPr>
          <w:rFonts w:ascii="Times New Roman" w:eastAsia="Times New Roman" w:hAnsi="Times New Roman" w:cs="Times New Roman"/>
        </w:rPr>
      </w:pPr>
    </w:p>
    <w:sectPr w:rsidR="00CE6B7C" w:rsidRPr="00C15AA7" w:rsidSect="00603B38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AE" w:rsidRDefault="008916AE" w:rsidP="00603B38">
      <w:r>
        <w:separator/>
      </w:r>
    </w:p>
  </w:endnote>
  <w:endnote w:type="continuationSeparator" w:id="0">
    <w:p w:rsidR="008916AE" w:rsidRDefault="008916AE" w:rsidP="006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AE" w:rsidRDefault="008916AE" w:rsidP="00603B38">
      <w:r>
        <w:separator/>
      </w:r>
    </w:p>
  </w:footnote>
  <w:footnote w:type="continuationSeparator" w:id="0">
    <w:p w:rsidR="008916AE" w:rsidRDefault="008916AE" w:rsidP="0060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F7D"/>
    <w:multiLevelType w:val="hybridMultilevel"/>
    <w:tmpl w:val="35AEB736"/>
    <w:lvl w:ilvl="0" w:tplc="13368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59B7"/>
    <w:multiLevelType w:val="hybridMultilevel"/>
    <w:tmpl w:val="361C28EE"/>
    <w:lvl w:ilvl="0" w:tplc="A6189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20D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749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C07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F02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34A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5AD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BA1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585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97E70"/>
    <w:multiLevelType w:val="hybridMultilevel"/>
    <w:tmpl w:val="D8001372"/>
    <w:lvl w:ilvl="0" w:tplc="5AC6D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8F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82F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069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2C9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848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EB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623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16C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D"/>
    <w:rsid w:val="000E01DA"/>
    <w:rsid w:val="002D7388"/>
    <w:rsid w:val="0045576D"/>
    <w:rsid w:val="00603B38"/>
    <w:rsid w:val="006F2161"/>
    <w:rsid w:val="008916AE"/>
    <w:rsid w:val="00A07DD8"/>
    <w:rsid w:val="00C15AA7"/>
    <w:rsid w:val="00CE6B7C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</w:style>
  <w:style w:type="paragraph" w:customStyle="1" w:styleId="fecha">
    <w:name w:val="fecha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utor">
    <w:name w:val="auto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umrodeligne">
    <w:name w:val="line number"/>
    <w:basedOn w:val="Policepardfaut"/>
    <w:uiPriority w:val="99"/>
    <w:semiHidden/>
    <w:unhideWhenUsed/>
    <w:rsid w:val="00603B38"/>
  </w:style>
  <w:style w:type="paragraph" w:styleId="En-tte">
    <w:name w:val="header"/>
    <w:basedOn w:val="Normal"/>
    <w:link w:val="En-tteCar"/>
    <w:uiPriority w:val="99"/>
    <w:unhideWhenUsed/>
    <w:rsid w:val="00603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B3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3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B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</w:style>
  <w:style w:type="paragraph" w:customStyle="1" w:styleId="fecha">
    <w:name w:val="fecha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utor">
    <w:name w:val="auto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umrodeligne">
    <w:name w:val="line number"/>
    <w:basedOn w:val="Policepardfaut"/>
    <w:uiPriority w:val="99"/>
    <w:semiHidden/>
    <w:unhideWhenUsed/>
    <w:rsid w:val="00603B38"/>
  </w:style>
  <w:style w:type="paragraph" w:styleId="En-tte">
    <w:name w:val="header"/>
    <w:basedOn w:val="Normal"/>
    <w:link w:val="En-tteCar"/>
    <w:uiPriority w:val="99"/>
    <w:unhideWhenUsed/>
    <w:rsid w:val="00603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B3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3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MUC 2015</vt:lpstr>
    </vt:vector>
  </TitlesOfParts>
  <Company>Education Nationale</Company>
  <LinksUpToDate>false</LinksUpToDate>
  <CharactersWithSpaces>2336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MUC 2015</dc:title>
  <dc:creator>ERIC BRISSET</dc:creator>
  <cp:lastModifiedBy>Valentine</cp:lastModifiedBy>
  <cp:revision>2</cp:revision>
  <dcterms:created xsi:type="dcterms:W3CDTF">2015-03-08T08:45:00Z</dcterms:created>
  <dcterms:modified xsi:type="dcterms:W3CDTF">2015-03-08T08:45:00Z</dcterms:modified>
</cp:coreProperties>
</file>