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425"/>
        <w:gridCol w:w="6663"/>
      </w:tblGrid>
      <w:tr w:rsidR="0042270B">
        <w:tblPrEx>
          <w:tblCellMar>
            <w:top w:w="0" w:type="dxa"/>
            <w:bottom w:w="0" w:type="dxa"/>
          </w:tblCellMar>
        </w:tblPrEx>
        <w:tc>
          <w:tcPr>
            <w:tcW w:w="7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Céline Germain (Lycée Blaise Pascal, Orsay)</w:t>
            </w:r>
          </w:p>
        </w:tc>
        <w:tc>
          <w:tcPr>
            <w:tcW w:w="6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  <w:jc w:val="center"/>
            </w:pPr>
          </w:p>
          <w:p w:rsidR="0042270B" w:rsidRDefault="0042270B">
            <w:pPr>
              <w:pStyle w:val="Standard"/>
              <w:spacing w:after="0" w:line="240" w:lineRule="auto"/>
              <w:jc w:val="center"/>
            </w:pP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</w:rPr>
              <w:t>Mémoire</w:t>
            </w:r>
          </w:p>
          <w:p w:rsidR="0042270B" w:rsidRDefault="0042270B">
            <w:pPr>
              <w:pStyle w:val="Standard"/>
              <w:spacing w:after="0" w:line="240" w:lineRule="auto"/>
              <w:rPr>
                <w:b/>
              </w:rPr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</w:rPr>
              <w:t>A2+ / B1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Activité de fin de séquence: </w:t>
            </w:r>
            <w:r>
              <w:t xml:space="preserve">réutiliser les connaissances acquises au cours de la séquence pour analyser et commenter </w:t>
            </w:r>
            <w:r>
              <w:t xml:space="preserve">le tableau de Jaime ZAPATA, </w:t>
            </w:r>
            <w:r>
              <w:rPr>
                <w:i/>
              </w:rPr>
              <w:t xml:space="preserve">El Encuentro, 1992  </w:t>
            </w:r>
            <w:r>
              <w:t>et compléter le titre de la séquence en pouvant justifier le choix du qualificatif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 xml:space="preserve">Classe de </w:t>
            </w:r>
            <w:r>
              <w:rPr>
                <w:b/>
              </w:rPr>
              <w:t>Seconde</w:t>
            </w:r>
            <w:r>
              <w:t xml:space="preserve"> (classe européenne) avec laquelle </w:t>
            </w:r>
            <w:r>
              <w:rPr>
                <w:color w:val="1F4E79"/>
                <w:u w:val="single"/>
              </w:rPr>
              <w:t>Rubén Villalba</w:t>
            </w:r>
            <w:r>
              <w:rPr>
                <w:color w:val="1F4E79"/>
              </w:rPr>
              <w:t xml:space="preserve"> a eu cours </w:t>
            </w:r>
            <w:r>
              <w:rPr>
                <w:b/>
                <w:color w:val="1F4E79"/>
              </w:rPr>
              <w:t>tous les quinze jours</w:t>
            </w:r>
            <w:r>
              <w:rPr>
                <w:color w:val="1F4E79"/>
              </w:rPr>
              <w:t>, en demi-groupe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  <w:jc w:val="center"/>
            </w:pPr>
            <w:r>
              <w:t>***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>Imp</w:t>
            </w:r>
            <w:r>
              <w:t>arfait et passé simple ont été revus dans une séquence précédente sur le conte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>Connaissances des élèves sur la découverte de l’Amérique (étudiée en Histoire-Géographie)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</w:tc>
      </w:tr>
    </w:tbl>
    <w:p w:rsidR="0042270B" w:rsidRDefault="001A1346">
      <w:pPr>
        <w:pStyle w:val="Standard"/>
        <w:jc w:val="center"/>
      </w:pPr>
      <w:r>
        <w:rPr>
          <w:b/>
          <w:sz w:val="28"/>
          <w:szCs w:val="28"/>
          <w:lang w:val="es-ES"/>
        </w:rPr>
        <w:t>El descubrimiento de América: un encuentro…</w:t>
      </w:r>
    </w:p>
    <w:tbl>
      <w:tblPr>
        <w:tblW w:w="14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3433"/>
        <w:gridCol w:w="3543"/>
        <w:gridCol w:w="3545"/>
      </w:tblGrid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u w:val="single"/>
                <w:lang w:val="es-ES"/>
              </w:rPr>
              <w:t>En ½ groupe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Documents iconographiques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- m</w:t>
            </w:r>
            <w:r>
              <w:rPr>
                <w:lang w:val="es-ES"/>
              </w:rPr>
              <w:t>apa que presenta el viaje de Marco Polo y los viajes de los portugueses para ir a las Indias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- carabelas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- brújula del siglo XV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- grabado de un monstruo marino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- portrait des Rois Catholiques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t xml:space="preserve">- acquérir le vocabulaire de la navigation, des produits que </w:t>
            </w:r>
            <w:r>
              <w:t>les Européens allaient chercher aux Indes…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>- récapituler les connaissances sur Christophe Colomb et son projet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EOI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Revoir les temps du passé (imparfait et passé simple)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Savoir poser des questions à ses camarades, mettre en commun les connaissances</w:t>
            </w:r>
          </w:p>
          <w:p w:rsidR="0042270B" w:rsidRDefault="0042270B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t>Prépa</w:t>
            </w:r>
            <w:r>
              <w:t>rer une prise de parole de 1’30 minute pour présenter le projet de Christophe Colomb et ses objectifs pour la Couronne espagnole en utilisant les temps du passé</w:t>
            </w: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  <w:lang w:val="es-ES"/>
              </w:rPr>
              <w:t>Lo que vio Cristóbal Colón</w:t>
            </w:r>
            <w:r>
              <w:rPr>
                <w:lang w:val="es-ES"/>
              </w:rPr>
              <w:t xml:space="preserve">, Fray Bartolomé de Las Casas, </w:t>
            </w:r>
            <w:r>
              <w:rPr>
                <w:i/>
                <w:lang w:val="es-ES"/>
              </w:rPr>
              <w:t>Historia de las Indias</w:t>
            </w:r>
            <w:r>
              <w:rPr>
                <w:lang w:val="es-ES"/>
              </w:rPr>
              <w:t>, 1550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- découv</w:t>
            </w:r>
            <w:r>
              <w:t>rir la première rencontre entre Espagnols et “Indiens” à travers les mots de Colomb lui-même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>- remarquer ce qui intéresse Colomb dans la description qu’il fait des « Indiens »: aspect physique, pauvreté et absence d’or, générosité, armes dont ils disposent</w:t>
            </w:r>
            <w:r>
              <w:t>…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CE et EOI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Utiliser les temps du passé (imparfait et passé simple)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Etablir des comparaisons entre Espagnols et « Indiens »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Réutiliser le superlatif présent dans le texte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t xml:space="preserve">Rédiger 4 phrases pour expliquer ce qui a attiré l’attention de Colomb en </w:t>
            </w:r>
            <w:r>
              <w:t>arrivant sur l’île de Guanahaní.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  <w:lang w:val="es-ES"/>
              </w:rPr>
              <w:t>La llegada de los españoles a la isla de Guanahaní</w:t>
            </w:r>
            <w:r>
              <w:rPr>
                <w:lang w:val="es-ES"/>
              </w:rPr>
              <w:t xml:space="preserve"> (ensayo en el jardín del hotel), secuencia de la película </w:t>
            </w:r>
            <w:r>
              <w:rPr>
                <w:u w:val="single"/>
                <w:lang w:val="es-ES"/>
              </w:rPr>
              <w:t>También la lluvia</w:t>
            </w:r>
            <w:r>
              <w:rPr>
                <w:lang w:val="es-ES"/>
              </w:rPr>
              <w:t xml:space="preserve"> de Icíar Bollaín (2010)</w:t>
            </w:r>
          </w:p>
          <w:p w:rsidR="0042270B" w:rsidRDefault="001A1346">
            <w:pPr>
              <w:pStyle w:val="Standard"/>
              <w:spacing w:after="0" w:line="240" w:lineRule="auto"/>
              <w:jc w:val="both"/>
            </w:pPr>
            <w:r>
              <w:rPr>
                <w:lang w:val="es-ES"/>
              </w:rPr>
              <w:t>9’37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- comparer cette scène de film avec le texte étudié précédemment</w:t>
            </w:r>
            <w:r>
              <w:t> : recherche des points communs et des différences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>- aspect juridique avec le « Requerimiento 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CO et EOI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Utiliser les temps du passé (imparfait et passé simple)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Etablir des comparaisons entre les deux documents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lastRenderedPageBreak/>
              <w:t xml:space="preserve">Exprimer l’étonnement : me </w:t>
            </w:r>
            <w:r>
              <w:rPr>
                <w:i/>
              </w:rPr>
              <w:t>sorprende/extraña que + subj.</w:t>
            </w:r>
          </w:p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42270B">
            <w:pPr>
              <w:pStyle w:val="Standard"/>
              <w:spacing w:after="0" w:line="240" w:lineRule="auto"/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Préparer une réponse orale à la question : ¿Qué impresión produce el ensayo de esta escena en un hotel, en nuestra época, en presencia de dos camareros indígenas ?</w:t>
            </w: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  <w:lang w:val="es-ES"/>
              </w:rPr>
              <w:t>Usted está acá</w:t>
            </w:r>
            <w:r>
              <w:rPr>
                <w:lang w:val="es-ES"/>
              </w:rPr>
              <w:t xml:space="preserve">, Santiago, </w:t>
            </w:r>
            <w:r>
              <w:rPr>
                <w:i/>
                <w:lang w:val="es-ES"/>
              </w:rPr>
              <w:t>Cambio 16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Remédiation  en ½ gro</w:t>
            </w:r>
            <w:r>
              <w:t>upe pour les élèves qui ont des difficultés à employer à bon escient l’imparfait et le passé simple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Description du dessin et de la scène représentée en explicitant l’intention humoristique</w:t>
            </w:r>
          </w:p>
        </w:tc>
        <w:tc>
          <w:tcPr>
            <w:tcW w:w="3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</w:pP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  <w:lang w:val="es-ES"/>
              </w:rPr>
              <w:t>¿Qué queréis de nosotros ?</w:t>
            </w:r>
            <w:r>
              <w:rPr>
                <w:lang w:val="es-ES"/>
              </w:rPr>
              <w:t xml:space="preserve">, secuencia de la película </w:t>
            </w:r>
            <w:r>
              <w:rPr>
                <w:u w:val="single"/>
                <w:lang w:val="es-ES"/>
              </w:rPr>
              <w:t xml:space="preserve">También la </w:t>
            </w:r>
            <w:r>
              <w:rPr>
                <w:u w:val="single"/>
                <w:lang w:val="es-ES"/>
              </w:rPr>
              <w:t>lluvia</w:t>
            </w:r>
            <w:r>
              <w:rPr>
                <w:lang w:val="es-ES"/>
              </w:rPr>
              <w:t xml:space="preserve"> de Icíar Bollaín (2010)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13’37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t>- faire le lien entre les premières observations de Colomb arrivant à Guanahaní et les débuts de la colonisation : cupidité, soumission des « Indiens », double discours…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t>- observer l’interprète « indien 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CO et EOI</w:t>
            </w:r>
          </w:p>
          <w:p w:rsidR="0042270B" w:rsidRDefault="0042270B">
            <w:pPr>
              <w:pStyle w:val="Standard"/>
              <w:spacing w:after="0" w:line="240" w:lineRule="auto"/>
              <w:rPr>
                <w:lang w:val="es-ES"/>
              </w:rPr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</w:rPr>
              <w:t>Exp</w:t>
            </w:r>
            <w:r>
              <w:rPr>
                <w:i/>
              </w:rPr>
              <w:t>oser ses impressions : me parece que + indicatif / no me parece que + subjonctif  …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i/>
                <w:lang w:val="es-ES"/>
              </w:rPr>
              <w:t>Exprimer son opinión: pienso que + indicatif / no pienso que + subj. / no es normal que + subj. …</w:t>
            </w:r>
          </w:p>
          <w:p w:rsidR="0042270B" w:rsidRDefault="0042270B">
            <w:pPr>
              <w:pStyle w:val="Standard"/>
              <w:spacing w:after="0" w:line="240" w:lineRule="auto"/>
              <w:rPr>
                <w:lang w:val="es-ES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  <w:rPr>
                <w:lang w:val="es-ES"/>
              </w:rPr>
            </w:pPr>
          </w:p>
          <w:p w:rsidR="0042270B" w:rsidRDefault="0042270B">
            <w:pPr>
              <w:pStyle w:val="Standard"/>
              <w:spacing w:after="0" w:line="240" w:lineRule="auto"/>
              <w:rPr>
                <w:lang w:val="es-ES"/>
              </w:rPr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Rédiger 5-6 lignes pour répondre à la question: ¿Cómo podían considerar</w:t>
            </w:r>
            <w:r>
              <w:rPr>
                <w:lang w:val="es-ES"/>
              </w:rPr>
              <w:t xml:space="preserve"> los indios al intérprete? Justifica tu respuesta apoyándote en lo que has visto.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lang w:val="es-ES"/>
              </w:rPr>
              <w:t>(Travail ramassé)</w:t>
            </w: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  <w:u w:val="single"/>
                <w:lang w:val="es-ES"/>
              </w:rPr>
              <w:t>Assistant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  <w:lang w:val="es-ES"/>
              </w:rPr>
              <w:t>Document iconographique: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  <w:color w:val="1F4E79"/>
                <w:lang w:val="es-ES"/>
              </w:rPr>
              <w:t>Intercambio de productos entre América y Europa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  <w:lang w:val="es-ES"/>
              </w:rPr>
              <w:t>Texte: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b/>
                <w:color w:val="1F4E79"/>
                <w:lang w:val="es-ES"/>
              </w:rPr>
              <w:t>¿Y si no hubiéramos descubierto América?</w:t>
            </w:r>
            <w:r>
              <w:rPr>
                <w:color w:val="1F4E79"/>
                <w:lang w:val="es-ES"/>
              </w:rPr>
              <w:t xml:space="preserve">, Ada Parellada, </w:t>
            </w:r>
            <w:r>
              <w:rPr>
                <w:i/>
                <w:color w:val="1F4E79"/>
                <w:lang w:val="es-ES"/>
              </w:rPr>
              <w:t xml:space="preserve">La </w:t>
            </w:r>
            <w:r>
              <w:rPr>
                <w:i/>
                <w:color w:val="1F4E79"/>
                <w:lang w:val="es-ES"/>
              </w:rPr>
              <w:t>Vanguardia</w:t>
            </w:r>
            <w:r>
              <w:rPr>
                <w:color w:val="1F4E79"/>
                <w:lang w:val="es-ES"/>
              </w:rPr>
              <w:t>, 22/05/2010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</w:rPr>
              <w:t>- découvrir un aspect moins “dur” de la découverte de l’Amérique avec les échanges d’aliments entre les deux continents et les influences culinaires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</w:rPr>
              <w:t>CE et EOI</w:t>
            </w:r>
          </w:p>
          <w:p w:rsidR="0042270B" w:rsidRDefault="0042270B">
            <w:pPr>
              <w:pStyle w:val="Standard"/>
              <w:spacing w:after="0" w:line="240" w:lineRule="auto"/>
              <w:rPr>
                <w:color w:val="1F4E79"/>
              </w:rPr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</w:rPr>
              <w:t>la phrase conditionnelle du type :</w:t>
            </w: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  <w:lang w:val="es-ES"/>
              </w:rPr>
              <w:t>«si no hubiéramos descubierto América,</w:t>
            </w:r>
            <w:r>
              <w:rPr>
                <w:color w:val="1F4E79"/>
                <w:lang w:val="es-ES"/>
              </w:rPr>
              <w:t xml:space="preserve"> no comeríamos… »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  <w:rPr>
                <w:color w:val="1F4E79"/>
                <w:lang w:val="es-ES"/>
              </w:rPr>
            </w:pPr>
          </w:p>
          <w:p w:rsidR="0042270B" w:rsidRDefault="001A1346">
            <w:pPr>
              <w:pStyle w:val="Standard"/>
              <w:spacing w:after="0" w:line="240" w:lineRule="auto"/>
            </w:pPr>
            <w:r>
              <w:rPr>
                <w:color w:val="1F4E79"/>
              </w:rPr>
              <w:t>Préparer une prise de parole en continu d’une minute pour expliquer de quel aliment venu d’Amérique Latine tu ne pourrais pas te passer et pourquoi. Utilise deux phrases conditionnelles.</w:t>
            </w:r>
          </w:p>
        </w:tc>
      </w:tr>
      <w:tr w:rsidR="0042270B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1A1346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 xml:space="preserve">Activité de fin de séquence : </w:t>
            </w:r>
            <w:r>
              <w:t>réutiliser les conn</w:t>
            </w:r>
            <w:r>
              <w:t xml:space="preserve">aissances acquises au cours de la séquence pour analyser et commenter le tableau de Jaime ZAPATA, </w:t>
            </w:r>
            <w:r>
              <w:rPr>
                <w:i/>
              </w:rPr>
              <w:t xml:space="preserve">El Encuentro, 1992  </w:t>
            </w:r>
            <w:r>
              <w:t>et compléter le titre de la séquence en justifiant le choix du qualificatif</w:t>
            </w:r>
          </w:p>
          <w:p w:rsidR="0042270B" w:rsidRDefault="0042270B">
            <w:pPr>
              <w:pStyle w:val="Standard"/>
              <w:spacing w:after="0" w:line="240" w:lineRule="auto"/>
              <w:rPr>
                <w:color w:val="1F4E79"/>
              </w:rPr>
            </w:pPr>
          </w:p>
        </w:tc>
        <w:tc>
          <w:tcPr>
            <w:tcW w:w="343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  <w:rPr>
                <w:color w:val="1F4E79"/>
              </w:rPr>
            </w:pP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  <w:rPr>
                <w:color w:val="1F4E79"/>
              </w:rPr>
            </w:pPr>
          </w:p>
        </w:tc>
        <w:tc>
          <w:tcPr>
            <w:tcW w:w="3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0B" w:rsidRDefault="0042270B">
            <w:pPr>
              <w:pStyle w:val="Standard"/>
              <w:spacing w:after="0" w:line="240" w:lineRule="auto"/>
              <w:rPr>
                <w:color w:val="1F4E79"/>
              </w:rPr>
            </w:pPr>
          </w:p>
        </w:tc>
      </w:tr>
    </w:tbl>
    <w:p w:rsidR="0042270B" w:rsidRDefault="001A1346">
      <w:pPr>
        <w:pStyle w:val="Standard"/>
      </w:pPr>
      <w:r>
        <w:rPr>
          <w:lang w:val="es-ES"/>
        </w:rPr>
        <w:t xml:space="preserve">Evaluation de fin de séquence: </w:t>
      </w:r>
      <w:r>
        <w:rPr>
          <w:u w:val="single"/>
          <w:lang w:val="es-ES"/>
        </w:rPr>
        <w:t>CE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La gran desilusión, </w:t>
      </w:r>
      <w:r>
        <w:rPr>
          <w:lang w:val="es-ES"/>
        </w:rPr>
        <w:t xml:space="preserve">Juan Eslava Galán, </w:t>
      </w:r>
      <w:r>
        <w:rPr>
          <w:i/>
          <w:lang w:val="es-ES"/>
        </w:rPr>
        <w:t>Historia de España contada para escépticos</w:t>
      </w:r>
      <w:r>
        <w:rPr>
          <w:lang w:val="es-ES"/>
        </w:rPr>
        <w:t xml:space="preserve">, 1995 et dessin de Corne + </w:t>
      </w:r>
      <w:r>
        <w:rPr>
          <w:u w:val="single"/>
          <w:lang w:val="es-ES"/>
        </w:rPr>
        <w:t>CO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El encuentro de dos mundos </w:t>
      </w:r>
      <w:r>
        <w:rPr>
          <w:lang w:val="es-ES"/>
        </w:rPr>
        <w:t>(Así somos 2°, p.100)</w:t>
      </w:r>
    </w:p>
    <w:sectPr w:rsidR="0042270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46" w:rsidRDefault="001A1346">
      <w:pPr>
        <w:spacing w:after="0" w:line="240" w:lineRule="auto"/>
      </w:pPr>
      <w:r>
        <w:separator/>
      </w:r>
    </w:p>
  </w:endnote>
  <w:endnote w:type="continuationSeparator" w:id="0">
    <w:p w:rsidR="001A1346" w:rsidRDefault="001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46" w:rsidRDefault="001A13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1346" w:rsidRDefault="001A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BA"/>
    <w:multiLevelType w:val="multilevel"/>
    <w:tmpl w:val="257C70AE"/>
    <w:styleLink w:val="WWNum2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215189F"/>
    <w:multiLevelType w:val="multilevel"/>
    <w:tmpl w:val="93302836"/>
    <w:styleLink w:val="WWNum5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774A94"/>
    <w:multiLevelType w:val="multilevel"/>
    <w:tmpl w:val="9F343E44"/>
    <w:styleLink w:val="WWNum3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31051C9"/>
    <w:multiLevelType w:val="multilevel"/>
    <w:tmpl w:val="9294A6E4"/>
    <w:styleLink w:val="WWNum4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323513E"/>
    <w:multiLevelType w:val="multilevel"/>
    <w:tmpl w:val="1A3269A2"/>
    <w:styleLink w:val="WWNum1"/>
    <w:lvl w:ilvl="0">
      <w:numFmt w:val="bullet"/>
      <w:lvlText w:val="-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270B"/>
    <w:rsid w:val="001A1346"/>
    <w:rsid w:val="0042270B"/>
    <w:rsid w:val="005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CC00-C4C6-4C15-9333-BFBD7DAE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GERMAIN</dc:creator>
  <cp:lastModifiedBy>papa</cp:lastModifiedBy>
  <cp:revision>2</cp:revision>
  <cp:lastPrinted>2015-05-03T14:11:00Z</cp:lastPrinted>
  <dcterms:created xsi:type="dcterms:W3CDTF">2016-11-02T14:56:00Z</dcterms:created>
  <dcterms:modified xsi:type="dcterms:W3CDTF">2016-11-02T14:56:00Z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