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D20F18">
        <w:rPr>
          <w:rFonts w:cs="Calibri"/>
          <w:color w:val="000000"/>
          <w:sz w:val="30"/>
          <w:szCs w:val="30"/>
          <w:lang w:eastAsia="fr-FR"/>
        </w:rPr>
        <w:t xml:space="preserve">6 - </w:t>
      </w:r>
      <w:r w:rsidR="006C4B84">
        <w:rPr>
          <w:rFonts w:cs="Calibri"/>
          <w:b/>
          <w:color w:val="000000"/>
          <w:sz w:val="30"/>
          <w:szCs w:val="30"/>
          <w:lang w:eastAsia="fr-FR"/>
        </w:rPr>
        <w:t>11</w:t>
      </w:r>
    </w:p>
    <w:p w:rsidR="00F95D17" w:rsidRPr="0078766B" w:rsidRDefault="00F95D17" w:rsidP="00F95D17">
      <w:pPr>
        <w:pStyle w:val="Sansinterligne"/>
        <w:rPr>
          <w:sz w:val="30"/>
          <w:szCs w:val="30"/>
        </w:rPr>
      </w:pPr>
    </w:p>
    <w:p w:rsidR="00730241" w:rsidRPr="000A2ABE" w:rsidRDefault="00D1558B"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D1558B">
        <w:rPr>
          <w:rFonts w:cs="Segoe UI"/>
          <w:b/>
          <w:color w:val="000000"/>
          <w:sz w:val="30"/>
          <w:szCs w:val="30"/>
          <w:lang w:val="es-ES_tradnl" w:eastAsia="fr-FR"/>
        </w:rPr>
        <w:t>El impago de la tasa de basura puede causar el desalojo en pisos de renta antigua</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D1558B" w:rsidRPr="00223BBC" w:rsidRDefault="00D1558B" w:rsidP="00D1558B">
      <w:pPr>
        <w:jc w:val="both"/>
        <w:rPr>
          <w:lang w:val="es-ES_tradnl" w:eastAsia="fr-FR"/>
        </w:rPr>
      </w:pPr>
      <w:r w:rsidRPr="00223BBC">
        <w:rPr>
          <w:lang w:val="es-ES_tradnl" w:eastAsia="fr-FR"/>
        </w:rPr>
        <w:lastRenderedPageBreak/>
        <w:t>El Tribunal Supremo ha establecido en una sentencia dada a conocer este martes que la tasa de basuras</w:t>
      </w:r>
      <w:r>
        <w:rPr>
          <w:rStyle w:val="Appelnotedebasdep"/>
          <w:lang w:val="es-ES_tradnl" w:eastAsia="fr-FR"/>
        </w:rPr>
        <w:footnoteReference w:id="1"/>
      </w:r>
      <w:r w:rsidRPr="00223BBC">
        <w:rPr>
          <w:lang w:val="es-ES_tradnl" w:eastAsia="fr-FR"/>
        </w:rPr>
        <w:t xml:space="preserve"> es un concepto asimilado a la renta de alquiler y que su impago puede suponer la resolución</w:t>
      </w:r>
      <w:r>
        <w:rPr>
          <w:rStyle w:val="Appelnotedebasdep"/>
          <w:lang w:val="es-ES_tradnl" w:eastAsia="fr-FR"/>
        </w:rPr>
        <w:footnoteReference w:id="2"/>
      </w:r>
      <w:r w:rsidRPr="00223BBC">
        <w:rPr>
          <w:lang w:val="es-ES_tradnl" w:eastAsia="fr-FR"/>
        </w:rPr>
        <w:t xml:space="preserve"> del contrato y el desalojo</w:t>
      </w:r>
      <w:r>
        <w:rPr>
          <w:rStyle w:val="Appelnotedebasdep"/>
          <w:lang w:val="es-ES_tradnl" w:eastAsia="fr-FR"/>
        </w:rPr>
        <w:footnoteReference w:id="3"/>
      </w:r>
      <w:r w:rsidRPr="00223BBC">
        <w:rPr>
          <w:lang w:val="es-ES_tradnl" w:eastAsia="fr-FR"/>
        </w:rPr>
        <w:t xml:space="preserve"> del inquilino en el caso de los arrendamientos</w:t>
      </w:r>
      <w:r w:rsidR="006C4B84">
        <w:rPr>
          <w:rStyle w:val="Appelnotedebasdep"/>
          <w:lang w:val="es-ES_tradnl" w:eastAsia="fr-FR"/>
        </w:rPr>
        <w:footnoteReference w:id="4"/>
      </w:r>
      <w:r w:rsidRPr="00223BBC">
        <w:rPr>
          <w:lang w:val="es-ES_tradnl" w:eastAsia="fr-FR"/>
        </w:rPr>
        <w:t xml:space="preserve"> de renta antigua, es decir, los regidos por</w:t>
      </w:r>
      <w:r>
        <w:rPr>
          <w:rStyle w:val="Appelnotedebasdep"/>
          <w:lang w:val="es-ES_tradnl" w:eastAsia="fr-FR"/>
        </w:rPr>
        <w:footnoteReference w:id="5"/>
      </w:r>
      <w:r w:rsidRPr="00223BBC">
        <w:rPr>
          <w:lang w:val="es-ES_tradnl" w:eastAsia="fr-FR"/>
        </w:rPr>
        <w:t xml:space="preserve"> la Ley de 1964.</w:t>
      </w:r>
    </w:p>
    <w:p w:rsidR="00D1558B" w:rsidRPr="00223BBC" w:rsidRDefault="00D1558B" w:rsidP="00D1558B">
      <w:pPr>
        <w:jc w:val="both"/>
        <w:rPr>
          <w:lang w:val="es-ES_tradnl" w:eastAsia="fr-FR"/>
        </w:rPr>
      </w:pPr>
      <w:r w:rsidRPr="00223BBC">
        <w:rPr>
          <w:lang w:val="es-ES_tradnl" w:eastAsia="fr-FR"/>
        </w:rPr>
        <w:t xml:space="preserve"> Así lo establece el alto tribunal en una sentencia del </w:t>
      </w:r>
      <w:r w:rsidR="00D877EA">
        <w:rPr>
          <w:lang w:val="es-ES_tradnl" w:eastAsia="fr-FR"/>
        </w:rPr>
        <w:t xml:space="preserve">[…] </w:t>
      </w:r>
      <w:r w:rsidRPr="00223BBC">
        <w:rPr>
          <w:lang w:val="es-ES_tradnl" w:eastAsia="fr-FR"/>
        </w:rPr>
        <w:t xml:space="preserve">presidente de la Sala de lo Civil, Francisco Marín </w:t>
      </w:r>
      <w:proofErr w:type="spellStart"/>
      <w:r w:rsidRPr="00223BBC">
        <w:rPr>
          <w:lang w:val="es-ES_tradnl" w:eastAsia="fr-FR"/>
        </w:rPr>
        <w:t>Castán</w:t>
      </w:r>
      <w:proofErr w:type="spellEnd"/>
      <w:r w:rsidRPr="00223BBC">
        <w:rPr>
          <w:lang w:val="es-ES_tradnl" w:eastAsia="fr-FR"/>
        </w:rPr>
        <w:t xml:space="preserve">, que rechaza el recurso presentado por la inquilina de un piso de renta antigua de </w:t>
      </w:r>
      <w:proofErr w:type="spellStart"/>
      <w:r w:rsidRPr="00223BBC">
        <w:rPr>
          <w:lang w:val="es-ES_tradnl" w:eastAsia="fr-FR"/>
        </w:rPr>
        <w:t>Granollers</w:t>
      </w:r>
      <w:proofErr w:type="spellEnd"/>
      <w:r w:rsidRPr="00223BBC">
        <w:rPr>
          <w:lang w:val="es-ES_tradnl" w:eastAsia="fr-FR"/>
        </w:rPr>
        <w:t xml:space="preserve"> (Barcelona) cuyo contrato había sido firmado estando vigente la Ley de Arrendamientos Urbanos de 1964.</w:t>
      </w:r>
    </w:p>
    <w:p w:rsidR="00D1558B" w:rsidRPr="00223BBC" w:rsidRDefault="00D1558B" w:rsidP="00D1558B">
      <w:pPr>
        <w:jc w:val="both"/>
        <w:rPr>
          <w:lang w:val="es-ES_tradnl" w:eastAsia="fr-FR"/>
        </w:rPr>
      </w:pPr>
      <w:r w:rsidRPr="00223BBC">
        <w:rPr>
          <w:lang w:val="es-ES_tradnl" w:eastAsia="fr-FR"/>
        </w:rPr>
        <w:t xml:space="preserve"> La sentencia confirma lo dictado en su día por la Audiencia Provincial de Barcelona, que declaró resuelto el contrato de arrendamiento y condenó a la inquilina a desalojar la vivienda y a pagar a la dueña del piso la cantidad que le debía en concepto de</w:t>
      </w:r>
      <w:r w:rsidR="00140875">
        <w:rPr>
          <w:rStyle w:val="Appelnotedebasdep"/>
          <w:lang w:val="es-ES_tradnl" w:eastAsia="fr-FR"/>
        </w:rPr>
        <w:footnoteReference w:id="6"/>
      </w:r>
      <w:r w:rsidRPr="00223BBC">
        <w:rPr>
          <w:lang w:val="es-ES_tradnl" w:eastAsia="fr-FR"/>
        </w:rPr>
        <w:t xml:space="preserve"> tasa de basura.</w:t>
      </w:r>
    </w:p>
    <w:p w:rsidR="00D1558B" w:rsidRPr="00223BBC" w:rsidRDefault="00D1558B" w:rsidP="00D1558B">
      <w:pPr>
        <w:jc w:val="both"/>
        <w:rPr>
          <w:lang w:val="es-ES_tradnl" w:eastAsia="fr-FR"/>
        </w:rPr>
      </w:pPr>
      <w:r w:rsidRPr="00223BBC">
        <w:rPr>
          <w:lang w:val="es-ES_tradnl" w:eastAsia="fr-FR"/>
        </w:rPr>
        <w:t xml:space="preserve"> Para el Supremo, la cuestión jurídica que se plantea en este caso es la de determinar si el importe</w:t>
      </w:r>
      <w:r w:rsidR="00140875">
        <w:rPr>
          <w:rStyle w:val="Appelnotedebasdep"/>
          <w:lang w:val="es-ES_tradnl" w:eastAsia="fr-FR"/>
        </w:rPr>
        <w:footnoteReference w:id="7"/>
      </w:r>
      <w:r w:rsidRPr="00223BBC">
        <w:rPr>
          <w:lang w:val="es-ES_tradnl" w:eastAsia="fr-FR"/>
        </w:rPr>
        <w:t xml:space="preserve"> de la tasa de recogida de basuras o residuos urbanos ha de ser considerado una cantidad asimilada a la renta de </w:t>
      </w:r>
      <w:proofErr w:type="gramStart"/>
      <w:r w:rsidRPr="00223BBC">
        <w:rPr>
          <w:lang w:val="es-ES_tradnl" w:eastAsia="fr-FR"/>
        </w:rPr>
        <w:t>modo</w:t>
      </w:r>
      <w:proofErr w:type="gramEnd"/>
      <w:r w:rsidRPr="00223BBC">
        <w:rPr>
          <w:lang w:val="es-ES_tradnl" w:eastAsia="fr-FR"/>
        </w:rPr>
        <w:t xml:space="preserve"> que su impago constituya causa de resolución del contrato de arrendamiento conforme al artículo 114 de la citada Ley de 1964.</w:t>
      </w:r>
    </w:p>
    <w:p w:rsidR="00D1558B" w:rsidRPr="00223BBC" w:rsidRDefault="00D1558B" w:rsidP="00D1558B">
      <w:pPr>
        <w:jc w:val="both"/>
        <w:rPr>
          <w:lang w:val="es-ES_tradnl" w:eastAsia="fr-FR"/>
        </w:rPr>
      </w:pPr>
      <w:r w:rsidRPr="00223BBC">
        <w:rPr>
          <w:lang w:val="es-ES_tradnl" w:eastAsia="fr-FR"/>
        </w:rPr>
        <w:t xml:space="preserve"> La Sala recuerda su doctrina jurisprudencial al respecto y recuerda que según la citada </w:t>
      </w:r>
      <w:r w:rsidR="004B3115">
        <w:rPr>
          <w:lang w:val="es-ES_tradnl" w:eastAsia="fr-FR"/>
        </w:rPr>
        <w:t>ley</w:t>
      </w:r>
      <w:r w:rsidRPr="00223BBC">
        <w:rPr>
          <w:lang w:val="es-ES_tradnl" w:eastAsia="fr-FR"/>
        </w:rPr>
        <w:t xml:space="preserve"> existen cantidades asimiladas a la renta cuyo pago ha de asumir el inquilino por mandato legal, empleando una fórmula abierta que ha de ser completada con las que en cada momento establezca la legislación aplicable, como es en este caso la tasa de basuras de </w:t>
      </w:r>
      <w:proofErr w:type="spellStart"/>
      <w:r w:rsidRPr="00223BBC">
        <w:rPr>
          <w:lang w:val="es-ES_tradnl" w:eastAsia="fr-FR"/>
        </w:rPr>
        <w:t>Granollers</w:t>
      </w:r>
      <w:proofErr w:type="spellEnd"/>
      <w:r w:rsidRPr="00223BBC">
        <w:rPr>
          <w:lang w:val="es-ES_tradnl" w:eastAsia="fr-FR"/>
        </w:rPr>
        <w:t>.</w:t>
      </w:r>
    </w:p>
    <w:p w:rsidR="00D1558B" w:rsidRPr="00223BBC" w:rsidRDefault="00D1558B" w:rsidP="00D1558B">
      <w:pPr>
        <w:jc w:val="both"/>
        <w:rPr>
          <w:lang w:val="es-ES_tradnl" w:eastAsia="fr-FR"/>
        </w:rPr>
      </w:pPr>
      <w:r w:rsidRPr="00223BBC">
        <w:rPr>
          <w:lang w:val="es-ES_tradnl" w:eastAsia="fr-FR"/>
        </w:rPr>
        <w:t xml:space="preserve"> El objetivo de esta norma, según el Tribunal Supremo, es el de proteger al propietario frente a los incumplimientos del arrendatario "respecto de obligaciones de inexcusable cumplimiento".</w:t>
      </w:r>
    </w:p>
    <w:p w:rsidR="005D0023" w:rsidRPr="00D1558B" w:rsidRDefault="00D1558B" w:rsidP="00D1558B">
      <w:pPr>
        <w:jc w:val="both"/>
        <w:rPr>
          <w:lang w:val="es-ES_tradnl" w:eastAsia="fr-FR"/>
        </w:rPr>
      </w:pPr>
      <w:r w:rsidRPr="00223BBC">
        <w:rPr>
          <w:lang w:val="es-ES_tradnl" w:eastAsia="fr-FR"/>
        </w:rPr>
        <w:t xml:space="preserve"> Así, concluye que la aplicación de dicha doctrina a este caso concreto determina la consideración del importe de la tasa de recogida de basuras como cantidad asimilada a la renta y que su pago debe ser asumido por el inquilino tanto por tratarse de un servicio "en su beneficio exclusivo" como por mandato legal, ya que la propia Ley Reguladora de las Haciendas locales establece que el sujeto pasivo de la tasa de basuras "lo es la persona física o jurídica que resulte benefic</w:t>
      </w:r>
      <w:r>
        <w:rPr>
          <w:lang w:val="es-ES_tradnl" w:eastAsia="fr-FR"/>
        </w:rPr>
        <w:t>iada por el referido servicio"</w:t>
      </w:r>
      <w:r w:rsidR="00DD1107" w:rsidRPr="00254BCA">
        <w:rPr>
          <w:lang w:val="es-ES_tradnl"/>
        </w:rPr>
        <w:t>.</w:t>
      </w:r>
    </w:p>
    <w:p w:rsidR="00AC5FB7" w:rsidRPr="00F95D17" w:rsidRDefault="00907887"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europa</w:t>
      </w:r>
      <w:r w:rsidR="00254BCA">
        <w:rPr>
          <w:rFonts w:eastAsia="Times New Roman" w:cs="Calibri"/>
          <w:i/>
          <w:sz w:val="24"/>
          <w:szCs w:val="24"/>
          <w:lang w:val="es-ES_tradnl" w:eastAsia="fr-FR"/>
        </w:rPr>
        <w:t>press</w:t>
      </w:r>
      <w:r w:rsidR="00C94D01">
        <w:rPr>
          <w:rFonts w:eastAsia="Times New Roman" w:cs="Calibri"/>
          <w:i/>
          <w:sz w:val="24"/>
          <w:szCs w:val="24"/>
          <w:lang w:val="es-ES_tradnl" w:eastAsia="fr-FR"/>
        </w:rPr>
        <w:t>.</w:t>
      </w:r>
      <w:r w:rsidR="000A2ABE">
        <w:rPr>
          <w:rFonts w:eastAsia="Times New Roman" w:cs="Calibri"/>
          <w:i/>
          <w:sz w:val="24"/>
          <w:szCs w:val="24"/>
          <w:lang w:val="es-ES_tradnl" w:eastAsia="fr-FR"/>
        </w:rPr>
        <w:t xml:space="preserve">com </w:t>
      </w:r>
      <w:r w:rsidR="0073666A">
        <w:rPr>
          <w:rFonts w:eastAsia="Times New Roman" w:cs="Calibri"/>
          <w:i/>
          <w:sz w:val="24"/>
          <w:szCs w:val="24"/>
          <w:lang w:val="es-ES_tradnl" w:eastAsia="fr-FR"/>
        </w:rPr>
        <w:t xml:space="preserve">- </w:t>
      </w:r>
      <w:r w:rsidR="00254BCA">
        <w:rPr>
          <w:rFonts w:eastAsia="Times New Roman" w:cs="Calibri"/>
          <w:sz w:val="24"/>
          <w:szCs w:val="24"/>
          <w:lang w:val="es-ES_tradnl" w:eastAsia="fr-FR"/>
        </w:rPr>
        <w:t>1</w:t>
      </w:r>
      <w:r>
        <w:rPr>
          <w:rFonts w:eastAsia="Times New Roman" w:cs="Calibri"/>
          <w:sz w:val="24"/>
          <w:szCs w:val="24"/>
          <w:lang w:val="es-ES_tradnl" w:eastAsia="fr-FR"/>
        </w:rPr>
        <w:t>9</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BC" w:rsidRDefault="00333EBC" w:rsidP="00D5487B">
      <w:pPr>
        <w:spacing w:after="0" w:line="240" w:lineRule="auto"/>
      </w:pPr>
      <w:r>
        <w:separator/>
      </w:r>
    </w:p>
  </w:endnote>
  <w:endnote w:type="continuationSeparator" w:id="0">
    <w:p w:rsidR="00333EBC" w:rsidRDefault="00333EBC"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BC" w:rsidRDefault="00333EBC" w:rsidP="00D5487B">
      <w:pPr>
        <w:spacing w:after="0" w:line="240" w:lineRule="auto"/>
      </w:pPr>
      <w:r>
        <w:separator/>
      </w:r>
    </w:p>
  </w:footnote>
  <w:footnote w:type="continuationSeparator" w:id="0">
    <w:p w:rsidR="00333EBC" w:rsidRDefault="00333EBC" w:rsidP="00D5487B">
      <w:pPr>
        <w:spacing w:after="0" w:line="240" w:lineRule="auto"/>
      </w:pPr>
      <w:r>
        <w:continuationSeparator/>
      </w:r>
    </w:p>
  </w:footnote>
  <w:footnote w:id="1">
    <w:p w:rsidR="00D1558B" w:rsidRDefault="00D1558B">
      <w:pPr>
        <w:pStyle w:val="Notedebasdepage"/>
      </w:pPr>
      <w:r>
        <w:rPr>
          <w:rStyle w:val="Appelnotedebasdep"/>
        </w:rPr>
        <w:footnoteRef/>
      </w:r>
      <w:r>
        <w:t xml:space="preserve"> La </w:t>
      </w:r>
      <w:proofErr w:type="spellStart"/>
      <w:r>
        <w:t>tasa</w:t>
      </w:r>
      <w:proofErr w:type="spellEnd"/>
      <w:r>
        <w:t xml:space="preserve"> de </w:t>
      </w:r>
      <w:proofErr w:type="spellStart"/>
      <w:r>
        <w:t>basuras</w:t>
      </w:r>
      <w:proofErr w:type="spellEnd"/>
      <w:r>
        <w:t> : la taxe d’enlèvement des ordures ménagères.</w:t>
      </w:r>
    </w:p>
  </w:footnote>
  <w:footnote w:id="2">
    <w:p w:rsidR="00D1558B" w:rsidRDefault="00D1558B">
      <w:pPr>
        <w:pStyle w:val="Notedebasdepage"/>
      </w:pPr>
      <w:r>
        <w:rPr>
          <w:rStyle w:val="Appelnotedebasdep"/>
        </w:rPr>
        <w:footnoteRef/>
      </w:r>
      <w:r>
        <w:t xml:space="preserve"> </w:t>
      </w:r>
      <w:proofErr w:type="spellStart"/>
      <w:r>
        <w:t>Resolución</w:t>
      </w:r>
      <w:proofErr w:type="spellEnd"/>
      <w:r>
        <w:t> : (ici) résiliation, rupture.</w:t>
      </w:r>
    </w:p>
  </w:footnote>
  <w:footnote w:id="3">
    <w:p w:rsidR="00D1558B" w:rsidRDefault="00D1558B">
      <w:pPr>
        <w:pStyle w:val="Notedebasdepage"/>
      </w:pPr>
      <w:r>
        <w:rPr>
          <w:rStyle w:val="Appelnotedebasdep"/>
        </w:rPr>
        <w:footnoteRef/>
      </w:r>
      <w:r>
        <w:t xml:space="preserve"> El </w:t>
      </w:r>
      <w:proofErr w:type="spellStart"/>
      <w:r>
        <w:t>desalojo</w:t>
      </w:r>
      <w:proofErr w:type="spellEnd"/>
      <w:r>
        <w:t xml:space="preserve"> : </w:t>
      </w:r>
      <w:proofErr w:type="gramStart"/>
      <w:r>
        <w:t xml:space="preserve">la </w:t>
      </w:r>
      <w:proofErr w:type="spellStart"/>
      <w:r>
        <w:t>expulsión</w:t>
      </w:r>
      <w:proofErr w:type="spellEnd"/>
      <w:proofErr w:type="gramEnd"/>
      <w:r>
        <w:t>.</w:t>
      </w:r>
    </w:p>
  </w:footnote>
  <w:footnote w:id="4">
    <w:p w:rsidR="006C4B84" w:rsidRDefault="006C4B84">
      <w:pPr>
        <w:pStyle w:val="Notedebasdepage"/>
      </w:pPr>
      <w:r>
        <w:rPr>
          <w:rStyle w:val="Appelnotedebasdep"/>
        </w:rPr>
        <w:footnoteRef/>
      </w:r>
      <w:r>
        <w:t xml:space="preserve"> </w:t>
      </w:r>
      <w:proofErr w:type="spellStart"/>
      <w:r>
        <w:t>Arrendamiento</w:t>
      </w:r>
      <w:proofErr w:type="spellEnd"/>
      <w:r>
        <w:t xml:space="preserve"> = </w:t>
      </w:r>
      <w:proofErr w:type="spellStart"/>
      <w:r>
        <w:t>alquiler</w:t>
      </w:r>
      <w:proofErr w:type="spellEnd"/>
      <w:r>
        <w:t>.</w:t>
      </w:r>
    </w:p>
  </w:footnote>
  <w:footnote w:id="5">
    <w:p w:rsidR="00D1558B" w:rsidRDefault="00D1558B">
      <w:pPr>
        <w:pStyle w:val="Notedebasdepage"/>
      </w:pPr>
      <w:r>
        <w:rPr>
          <w:rStyle w:val="Appelnotedebasdep"/>
        </w:rPr>
        <w:footnoteRef/>
      </w:r>
      <w:r>
        <w:t xml:space="preserve"> </w:t>
      </w:r>
      <w:proofErr w:type="spellStart"/>
      <w:r>
        <w:t>Regidos</w:t>
      </w:r>
      <w:proofErr w:type="spellEnd"/>
      <w:r>
        <w:t xml:space="preserve"> </w:t>
      </w:r>
      <w:proofErr w:type="spellStart"/>
      <w:r>
        <w:t>por</w:t>
      </w:r>
      <w:proofErr w:type="spellEnd"/>
      <w:r>
        <w:t> : soumis à.</w:t>
      </w:r>
    </w:p>
  </w:footnote>
  <w:footnote w:id="6">
    <w:p w:rsidR="00140875" w:rsidRDefault="00140875">
      <w:pPr>
        <w:pStyle w:val="Notedebasdepage"/>
      </w:pPr>
      <w:r>
        <w:rPr>
          <w:rStyle w:val="Appelnotedebasdep"/>
        </w:rPr>
        <w:footnoteRef/>
      </w:r>
      <w:r>
        <w:t xml:space="preserve"> En </w:t>
      </w:r>
      <w:proofErr w:type="spellStart"/>
      <w:r>
        <w:t>concepto</w:t>
      </w:r>
      <w:proofErr w:type="spellEnd"/>
      <w:r>
        <w:t xml:space="preserve"> de : en terme de.</w:t>
      </w:r>
    </w:p>
  </w:footnote>
  <w:footnote w:id="7">
    <w:p w:rsidR="00140875" w:rsidRDefault="00140875">
      <w:pPr>
        <w:pStyle w:val="Notedebasdepage"/>
      </w:pPr>
      <w:r>
        <w:rPr>
          <w:rStyle w:val="Appelnotedebasdep"/>
        </w:rPr>
        <w:footnoteRef/>
      </w:r>
      <w:r>
        <w:t xml:space="preserve"> El importe : le montant.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65627"/>
    <w:rsid w:val="000838DC"/>
    <w:rsid w:val="00097B4B"/>
    <w:rsid w:val="000A1599"/>
    <w:rsid w:val="000A2ABE"/>
    <w:rsid w:val="000E0B78"/>
    <w:rsid w:val="000F529B"/>
    <w:rsid w:val="0011752F"/>
    <w:rsid w:val="00140875"/>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333EBC"/>
    <w:rsid w:val="00367347"/>
    <w:rsid w:val="003B2343"/>
    <w:rsid w:val="0042320B"/>
    <w:rsid w:val="00427B2E"/>
    <w:rsid w:val="004307EB"/>
    <w:rsid w:val="00436CA7"/>
    <w:rsid w:val="004373F2"/>
    <w:rsid w:val="00453A95"/>
    <w:rsid w:val="00456720"/>
    <w:rsid w:val="00481B0A"/>
    <w:rsid w:val="00485410"/>
    <w:rsid w:val="004B3115"/>
    <w:rsid w:val="004B6476"/>
    <w:rsid w:val="004D31F2"/>
    <w:rsid w:val="005127ED"/>
    <w:rsid w:val="00564D17"/>
    <w:rsid w:val="0057648D"/>
    <w:rsid w:val="0058392D"/>
    <w:rsid w:val="005D0023"/>
    <w:rsid w:val="005D5ABB"/>
    <w:rsid w:val="00604ABD"/>
    <w:rsid w:val="006073B4"/>
    <w:rsid w:val="00656A1A"/>
    <w:rsid w:val="006613F9"/>
    <w:rsid w:val="0066577C"/>
    <w:rsid w:val="00687C95"/>
    <w:rsid w:val="006A16BE"/>
    <w:rsid w:val="006B080D"/>
    <w:rsid w:val="006C2DA4"/>
    <w:rsid w:val="006C4B84"/>
    <w:rsid w:val="006C5BCF"/>
    <w:rsid w:val="006E649B"/>
    <w:rsid w:val="00730241"/>
    <w:rsid w:val="0073666A"/>
    <w:rsid w:val="007424AA"/>
    <w:rsid w:val="0076288F"/>
    <w:rsid w:val="0078766B"/>
    <w:rsid w:val="007C6E30"/>
    <w:rsid w:val="007D3361"/>
    <w:rsid w:val="007E4FDB"/>
    <w:rsid w:val="008120B8"/>
    <w:rsid w:val="00845BFD"/>
    <w:rsid w:val="00886163"/>
    <w:rsid w:val="00886792"/>
    <w:rsid w:val="008C309B"/>
    <w:rsid w:val="00907887"/>
    <w:rsid w:val="009304E3"/>
    <w:rsid w:val="00957915"/>
    <w:rsid w:val="009832E4"/>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664BC"/>
    <w:rsid w:val="00B7518C"/>
    <w:rsid w:val="00B96F41"/>
    <w:rsid w:val="00BA142B"/>
    <w:rsid w:val="00BE4634"/>
    <w:rsid w:val="00C06F13"/>
    <w:rsid w:val="00C135E8"/>
    <w:rsid w:val="00C1527E"/>
    <w:rsid w:val="00C3460D"/>
    <w:rsid w:val="00C35923"/>
    <w:rsid w:val="00C522AE"/>
    <w:rsid w:val="00C94D01"/>
    <w:rsid w:val="00CA72A0"/>
    <w:rsid w:val="00CF599B"/>
    <w:rsid w:val="00D13558"/>
    <w:rsid w:val="00D1558B"/>
    <w:rsid w:val="00D20F18"/>
    <w:rsid w:val="00D22129"/>
    <w:rsid w:val="00D34652"/>
    <w:rsid w:val="00D5144F"/>
    <w:rsid w:val="00D53D16"/>
    <w:rsid w:val="00D5487B"/>
    <w:rsid w:val="00D877EA"/>
    <w:rsid w:val="00D96265"/>
    <w:rsid w:val="00D96B81"/>
    <w:rsid w:val="00DA42B3"/>
    <w:rsid w:val="00DB0832"/>
    <w:rsid w:val="00DB5472"/>
    <w:rsid w:val="00DC7B4F"/>
    <w:rsid w:val="00DD1107"/>
    <w:rsid w:val="00DD59B0"/>
    <w:rsid w:val="00DE0E7B"/>
    <w:rsid w:val="00E14353"/>
    <w:rsid w:val="00E148F3"/>
    <w:rsid w:val="00E25CED"/>
    <w:rsid w:val="00E353D8"/>
    <w:rsid w:val="00E516B4"/>
    <w:rsid w:val="00E5468F"/>
    <w:rsid w:val="00E568B0"/>
    <w:rsid w:val="00E72E67"/>
    <w:rsid w:val="00E96614"/>
    <w:rsid w:val="00EA38AD"/>
    <w:rsid w:val="00ED0954"/>
    <w:rsid w:val="00EE65FA"/>
    <w:rsid w:val="00F03C86"/>
    <w:rsid w:val="00F80213"/>
    <w:rsid w:val="00F80A10"/>
    <w:rsid w:val="00F95D17"/>
    <w:rsid w:val="00FA7F03"/>
    <w:rsid w:val="00FB1AFF"/>
    <w:rsid w:val="00FD1E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0D32-9EA6-4BD9-9062-F93D1B6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2016-02-15T14:06:00Z</dcterms:created>
  <dcterms:modified xsi:type="dcterms:W3CDTF">2016-02-15T14:07:00Z</dcterms:modified>
</cp:coreProperties>
</file>